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宋体" w:eastAsia="黑体"/>
          <w:b/>
          <w:bCs/>
          <w:kern w:val="0"/>
          <w:sz w:val="32"/>
          <w:szCs w:val="32"/>
          <w:lang w:val="zh-CN"/>
        </w:rPr>
      </w:pPr>
      <w:r>
        <w:rPr>
          <w:rFonts w:hint="eastAsia" w:ascii="黑体" w:hAnsi="宋体" w:eastAsia="黑体"/>
          <w:b/>
          <w:bCs/>
          <w:sz w:val="32"/>
          <w:szCs w:val="32"/>
          <w:lang w:val="en-US" w:eastAsia="zh-CN"/>
        </w:rPr>
        <w:t>体育教育专业</w:t>
      </w:r>
      <w:r>
        <w:rPr>
          <w:rFonts w:hint="eastAsia" w:ascii="黑体" w:hAnsi="宋体" w:eastAsia="黑体"/>
          <w:b/>
          <w:bCs/>
          <w:kern w:val="0"/>
          <w:sz w:val="32"/>
          <w:szCs w:val="32"/>
          <w:lang w:val="zh-CN"/>
        </w:rPr>
        <w:t>20</w:t>
      </w:r>
      <w:r>
        <w:rPr>
          <w:rFonts w:hint="eastAsia" w:ascii="黑体" w:hAnsi="宋体" w:eastAsia="黑体"/>
          <w:b/>
          <w:bCs/>
          <w:kern w:val="0"/>
          <w:sz w:val="32"/>
          <w:szCs w:val="32"/>
          <w:lang w:val="en-US" w:eastAsia="zh-CN"/>
        </w:rPr>
        <w:t>22</w:t>
      </w:r>
      <w:r>
        <w:rPr>
          <w:rFonts w:hint="eastAsia" w:ascii="黑体" w:hAnsi="宋体" w:eastAsia="黑体"/>
          <w:b/>
          <w:bCs/>
          <w:kern w:val="0"/>
          <w:sz w:val="32"/>
          <w:szCs w:val="32"/>
          <w:lang w:val="zh-CN"/>
        </w:rPr>
        <w:t>年专升本羽毛球测试细则及评分标准</w:t>
      </w:r>
    </w:p>
    <w:p>
      <w:pPr>
        <w:jc w:val="both"/>
        <w:rPr>
          <w:rFonts w:hint="eastAsia" w:ascii="黑体" w:hAnsi="宋体" w:eastAsia="黑体"/>
          <w:kern w:val="0"/>
          <w:sz w:val="36"/>
          <w:szCs w:val="36"/>
          <w:lang w:val="zh-CN" w:eastAsia="zh-CN"/>
        </w:rPr>
      </w:pPr>
    </w:p>
    <w:p>
      <w:pPr>
        <w:pStyle w:val="10"/>
        <w:numPr>
          <w:ilvl w:val="0"/>
          <w:numId w:val="1"/>
        </w:numPr>
        <w:spacing w:line="395" w:lineRule="exact"/>
        <w:ind w:left="0" w:leftChars="0" w:firstLine="0" w:firstLineChars="0"/>
        <w:rPr>
          <w:rFonts w:hint="eastAsia"/>
          <w:color w:val="3CB4E7"/>
          <w:lang w:val="en-US" w:eastAsia="zh-CN"/>
        </w:rPr>
      </w:pPr>
      <w:r>
        <w:rPr>
          <w:color w:val="3CB4E7"/>
          <w:lang w:eastAsia="zh-CN"/>
        </w:rPr>
        <w:t>考核指标与所占分值</w:t>
      </w:r>
      <w:r>
        <w:rPr>
          <w:rFonts w:hint="eastAsia"/>
          <w:color w:val="3CB4E7"/>
          <w:lang w:val="en-US" w:eastAsia="zh-CN"/>
        </w:rPr>
        <w:t>(总分200分)</w:t>
      </w:r>
      <w:bookmarkStart w:id="0" w:name="_GoBack"/>
      <w:bookmarkEnd w:id="0"/>
    </w:p>
    <w:p>
      <w:pPr>
        <w:spacing w:before="9"/>
        <w:rPr>
          <w:rFonts w:ascii="Arial Unicode MS" w:hAnsi="Arial Unicode MS" w:eastAsia="Arial Unicode MS" w:cs="Arial Unicode MS"/>
          <w:lang w:eastAsia="zh-CN"/>
        </w:rPr>
      </w:pPr>
    </w:p>
    <w:tbl>
      <w:tblPr>
        <w:tblStyle w:val="8"/>
        <w:tblW w:w="8433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107"/>
        <w:gridCol w:w="2383"/>
        <w:gridCol w:w="2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57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类  别</w:t>
            </w:r>
          </w:p>
        </w:tc>
        <w:tc>
          <w:tcPr>
            <w:tcW w:w="210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专项素质</w:t>
            </w:r>
          </w:p>
        </w:tc>
        <w:tc>
          <w:tcPr>
            <w:tcW w:w="238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实战能力</w:t>
            </w:r>
          </w:p>
        </w:tc>
        <w:tc>
          <w:tcPr>
            <w:tcW w:w="236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实战能力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57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考  核</w:t>
            </w:r>
          </w:p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指  标</w:t>
            </w:r>
          </w:p>
        </w:tc>
        <w:tc>
          <w:tcPr>
            <w:tcW w:w="210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前后</w:t>
            </w:r>
          </w:p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左右移动</w:t>
            </w:r>
          </w:p>
        </w:tc>
        <w:tc>
          <w:tcPr>
            <w:tcW w:w="238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比赛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成绩</w:t>
            </w:r>
          </w:p>
        </w:tc>
        <w:tc>
          <w:tcPr>
            <w:tcW w:w="2368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比赛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技、战术技评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57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  值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30分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100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70分</w:t>
            </w:r>
          </w:p>
        </w:tc>
      </w:tr>
    </w:tbl>
    <w:p>
      <w:pPr>
        <w:spacing w:before="8"/>
        <w:rPr>
          <w:rFonts w:ascii="Arial Unicode MS" w:hAnsi="Arial Unicode MS" w:eastAsia="Arial Unicode MS" w:cs="Arial Unicode MS"/>
          <w:sz w:val="18"/>
          <w:szCs w:val="18"/>
        </w:rPr>
      </w:pPr>
    </w:p>
    <w:p>
      <w:pPr>
        <w:numPr>
          <w:ilvl w:val="0"/>
          <w:numId w:val="1"/>
        </w:numPr>
        <w:spacing w:line="395" w:lineRule="exact"/>
        <w:ind w:left="0" w:leftChars="0" w:firstLine="0" w:firstLineChars="0"/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</w:pPr>
      <w:r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  <w:t>考试方法与评分标准</w:t>
      </w:r>
    </w:p>
    <w:p>
      <w:pPr>
        <w:pStyle w:val="12"/>
        <w:numPr>
          <w:ilvl w:val="0"/>
          <w:numId w:val="2"/>
        </w:numPr>
        <w:ind w:left="45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color w:val="231F20"/>
          <w:sz w:val="24"/>
          <w:szCs w:val="24"/>
          <w:lang w:eastAsia="zh-CN"/>
        </w:rPr>
        <w:t>专项素质</w:t>
      </w:r>
    </w:p>
    <w:p>
      <w:pPr>
        <w:pStyle w:val="12"/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前后左右移动</w:t>
      </w:r>
    </w:p>
    <w:p>
      <w:pPr>
        <w:pStyle w:val="3"/>
        <w:spacing w:before="65" w:line="300" w:lineRule="auto"/>
        <w:ind w:left="0" w:leftChars="0" w:right="121" w:firstLine="420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1．考试方法：考生站在起点处（场地中线和底线交叉点后），听到“预备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-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跑”口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令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（计</w:t>
      </w:r>
      <w:r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  <w:t>时开始），沿着中线采用直线上网步法，持拍手触网顶白线后，直线后退踩底线为完成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color w:val="231F20"/>
          <w:spacing w:val="1"/>
          <w:sz w:val="21"/>
          <w:szCs w:val="21"/>
          <w:lang w:eastAsia="zh-CN"/>
        </w:rPr>
        <w:t>次前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后移动，反复进行5次。</w:t>
      </w:r>
    </w:p>
    <w:p>
      <w:pPr>
        <w:pStyle w:val="3"/>
        <w:spacing w:line="300" w:lineRule="auto"/>
        <w:ind w:left="0" w:leftChars="0" w:right="115" w:firstLine="428" w:firstLineChars="200"/>
        <w:jc w:val="both"/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  <w:t>当第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5</w:t>
      </w: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eastAsia="zh-CN"/>
        </w:rPr>
        <w:t>次回到底线，脚踩底线同时，从中线开始，采用向左右两侧移动的步法至场地右侧</w:t>
      </w:r>
      <w:r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  <w:t>单打边线处，用持拍手触拨单打边线上的羽毛球，然后用向左侧移动的步法至场地左侧单打边</w:t>
      </w:r>
      <w:r>
        <w:rPr>
          <w:rFonts w:hint="eastAsia" w:ascii="宋体" w:hAnsi="宋体" w:eastAsia="宋体" w:cs="宋体"/>
          <w:color w:val="231F20"/>
          <w:spacing w:val="-2"/>
          <w:sz w:val="21"/>
          <w:szCs w:val="21"/>
          <w:lang w:eastAsia="zh-CN"/>
        </w:rPr>
        <w:t>线处，用持拍手触拨单打边线上的羽毛球，转身面向球网（左手持拍者在右侧触拨球时转身），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继续向反方向进行下一次移动</w:t>
      </w:r>
      <w:r>
        <w:rPr>
          <w:rFonts w:hint="eastAsia" w:ascii="宋体" w:hAnsi="宋体" w:eastAsia="宋体" w:cs="宋体"/>
          <w:color w:val="231F20"/>
          <w:spacing w:val="-26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反复进行5次</w:t>
      </w:r>
      <w:r>
        <w:rPr>
          <w:rFonts w:hint="eastAsia" w:ascii="宋体" w:hAnsi="宋体" w:eastAsia="宋体" w:cs="宋体"/>
          <w:color w:val="231F20"/>
          <w:spacing w:val="-26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当完成最后一球触拨后回到中线</w:t>
      </w:r>
      <w:r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  <w:t>踩线计时停止，记录完成的时间。</w:t>
      </w:r>
    </w:p>
    <w:p>
      <w:pPr>
        <w:pStyle w:val="3"/>
        <w:spacing w:line="300" w:lineRule="auto"/>
        <w:ind w:left="0" w:leftChars="0" w:right="115" w:firstLine="428" w:firstLineChars="200"/>
        <w:jc w:val="both"/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  <w:t xml:space="preserve">如图1所示（图中三角形为放置在单打边线上的羽毛球）。 </w:t>
      </w:r>
    </w:p>
    <w:p>
      <w:pPr>
        <w:pStyle w:val="3"/>
        <w:spacing w:line="300" w:lineRule="auto"/>
        <w:ind w:left="0" w:leftChars="0" w:right="115" w:firstLine="428" w:firstLineChars="200"/>
        <w:jc w:val="both"/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  <w:t>考生如前后移动未踩线和触网，视为违例，应重新踩线或触网才能继续完成后面的测试；移动时未触拨到球，或在左（右）侧场区边线触拨球后没有转体面向球网的，视为违例，应重新触拨球或回到边线处转体面向球网才能继续完成后面的测试。</w:t>
      </w:r>
    </w:p>
    <w:p>
      <w:pPr>
        <w:rPr>
          <w:rFonts w:ascii="方正宋一简体" w:hAnsi="方正宋一简体" w:eastAsia="方正宋一简体" w:cs="方正宋一简体"/>
          <w:sz w:val="21"/>
          <w:szCs w:val="21"/>
          <w:lang w:eastAsia="zh-CN"/>
        </w:rPr>
      </w:pPr>
    </w:p>
    <w:p>
      <w:pPr>
        <w:spacing w:before="3"/>
        <w:rPr>
          <w:rFonts w:ascii="方正宋一简体" w:hAnsi="方正宋一简体" w:eastAsia="方正宋一简体" w:cs="方正宋一简体"/>
          <w:sz w:val="26"/>
          <w:szCs w:val="26"/>
          <w:lang w:eastAsia="zh-CN"/>
        </w:rPr>
      </w:pPr>
    </w:p>
    <w:p>
      <w:pPr>
        <w:spacing w:line="200" w:lineRule="atLeast"/>
        <w:ind w:left="1288"/>
        <w:rPr>
          <w:rFonts w:ascii="方正宋一简体" w:hAnsi="方正宋一简体" w:eastAsia="方正宋一简体" w:cs="方正宋一简体"/>
          <w:sz w:val="20"/>
          <w:szCs w:val="20"/>
        </w:rPr>
      </w:pPr>
      <w:r>
        <w:rPr>
          <w:rFonts w:ascii="方正宋一简体" w:hAnsi="方正宋一简体" w:eastAsia="方正宋一简体" w:cs="方正宋一简体"/>
          <w:sz w:val="20"/>
          <w:szCs w:val="20"/>
          <w:lang w:eastAsia="zh-CN"/>
        </w:rPr>
        <w:drawing>
          <wp:inline distT="0" distB="0" distL="0" distR="0">
            <wp:extent cx="3094355" cy="2524760"/>
            <wp:effectExtent l="0" t="0" r="10795" b="8890"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"/>
        <w:rPr>
          <w:rFonts w:ascii="方正宋一简体" w:hAnsi="方正宋一简体" w:eastAsia="方正宋一简体" w:cs="方正宋一简体"/>
          <w:sz w:val="19"/>
          <w:szCs w:val="19"/>
        </w:rPr>
      </w:pPr>
    </w:p>
    <w:p>
      <w:pPr>
        <w:spacing w:before="19"/>
        <w:ind w:left="2426" w:right="2330"/>
        <w:jc w:val="center"/>
        <w:rPr>
          <w:rFonts w:ascii="方正宋三简体" w:hAnsi="方正宋三简体" w:eastAsia="方正宋三简体" w:cs="方正宋三简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color w:val="231F20"/>
          <w:sz w:val="18"/>
          <w:szCs w:val="18"/>
          <w:lang w:eastAsia="zh-CN"/>
        </w:rPr>
        <w:t>图 1</w:t>
      </w:r>
      <w:r>
        <w:rPr>
          <w:rFonts w:hint="eastAsia" w:ascii="宋体" w:hAnsi="宋体" w:eastAsia="宋体" w:cs="宋体"/>
          <w:color w:val="231F20"/>
          <w:spacing w:val="-1"/>
          <w:sz w:val="18"/>
          <w:szCs w:val="18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18"/>
          <w:szCs w:val="18"/>
          <w:lang w:eastAsia="zh-CN"/>
        </w:rPr>
        <w:t>前后左右移动示意图</w:t>
      </w:r>
    </w:p>
    <w:p>
      <w:pPr>
        <w:spacing w:before="13"/>
        <w:rPr>
          <w:rFonts w:ascii="方正宋三简体" w:hAnsi="方正宋三简体" w:eastAsia="方正宋三简体" w:cs="方正宋三简体"/>
          <w:sz w:val="29"/>
          <w:szCs w:val="29"/>
          <w:lang w:eastAsia="zh-CN"/>
        </w:rPr>
      </w:pPr>
    </w:p>
    <w:p>
      <w:pPr>
        <w:pStyle w:val="3"/>
        <w:spacing w:before="17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2．评分标准：见表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。</w:t>
      </w:r>
    </w:p>
    <w:p>
      <w:pPr>
        <w:pStyle w:val="3"/>
        <w:spacing w:before="0"/>
        <w:ind w:left="421"/>
        <w:jc w:val="center"/>
        <w:rPr>
          <w:rFonts w:ascii="方正宋三简体" w:hAnsi="方正宋三简体" w:eastAsia="方正宋三简体" w:cs="方正宋三简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表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 xml:space="preserve">  前后左右移动评分表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8"/>
        <w:tblW w:w="8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537"/>
        <w:gridCol w:w="1538"/>
        <w:gridCol w:w="865"/>
        <w:gridCol w:w="1637"/>
        <w:gridCol w:w="16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884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3075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</w:t>
            </w:r>
          </w:p>
        </w:tc>
        <w:tc>
          <w:tcPr>
            <w:tcW w:w="865" w:type="dxa"/>
            <w:vMerge w:val="restart"/>
            <w:tcBorders>
              <w:top w:val="single" w:color="3CB4E7" w:sz="12" w:space="0"/>
              <w:left w:val="nil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3275" w:type="dxa"/>
            <w:gridSpan w:val="2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884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538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  <w:tc>
          <w:tcPr>
            <w:tcW w:w="865" w:type="dxa"/>
            <w:vMerge w:val="continue"/>
            <w:tcBorders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</w:t>
            </w:r>
          </w:p>
        </w:tc>
        <w:tc>
          <w:tcPr>
            <w:tcW w:w="1638" w:type="dxa"/>
            <w:tcBorders>
              <w:top w:val="single" w:color="3CB4E7" w:sz="4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88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3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38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7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6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63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38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88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88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53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7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53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6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3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63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7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8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1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3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6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  <w:jc w:val="center"/>
        </w:trPr>
        <w:tc>
          <w:tcPr>
            <w:tcW w:w="884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9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2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44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7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"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0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注：男子用时在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44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"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以上，女子在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47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"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以上，计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0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分。</w:t>
      </w:r>
    </w:p>
    <w:p>
      <w:pPr>
        <w:pStyle w:val="12"/>
        <w:numPr>
          <w:ilvl w:val="0"/>
          <w:numId w:val="0"/>
        </w:numPr>
        <w:rPr>
          <w:color w:val="231F20"/>
          <w:sz w:val="24"/>
          <w:szCs w:val="24"/>
          <w:lang w:eastAsia="zh-CN"/>
        </w:rPr>
      </w:pPr>
    </w:p>
    <w:p>
      <w:pPr>
        <w:pStyle w:val="12"/>
        <w:numPr>
          <w:ilvl w:val="0"/>
          <w:numId w:val="0"/>
        </w:numPr>
        <w:rPr>
          <w:rFonts w:hint="eastAsia"/>
          <w:color w:val="231F20"/>
          <w:sz w:val="24"/>
          <w:szCs w:val="24"/>
          <w:lang w:eastAsia="zh-CN"/>
        </w:rPr>
      </w:pPr>
      <w:r>
        <w:rPr>
          <w:rFonts w:hint="eastAsia"/>
          <w:color w:val="231F20"/>
          <w:sz w:val="24"/>
          <w:szCs w:val="24"/>
          <w:lang w:eastAsia="zh-CN"/>
        </w:rPr>
        <w:t>（二）</w:t>
      </w:r>
      <w:r>
        <w:rPr>
          <w:color w:val="231F20"/>
          <w:sz w:val="24"/>
          <w:szCs w:val="24"/>
          <w:lang w:eastAsia="zh-CN"/>
        </w:rPr>
        <w:t>实战能力</w:t>
      </w:r>
      <w:r>
        <w:rPr>
          <w:rFonts w:hint="eastAsia"/>
          <w:color w:val="231F20"/>
          <w:sz w:val="24"/>
          <w:szCs w:val="24"/>
          <w:lang w:val="en-US" w:eastAsia="zh-CN"/>
        </w:rPr>
        <w:t>---</w:t>
      </w:r>
      <w:r>
        <w:rPr>
          <w:rFonts w:hint="eastAsia"/>
          <w:color w:val="231F20"/>
          <w:sz w:val="24"/>
          <w:szCs w:val="24"/>
          <w:lang w:eastAsia="zh-CN"/>
        </w:rPr>
        <w:t>比赛成绩</w:t>
      </w:r>
      <w:r>
        <w:rPr>
          <w:rFonts w:hint="eastAsia"/>
          <w:color w:val="231F20"/>
          <w:sz w:val="24"/>
          <w:szCs w:val="24"/>
          <w:lang w:val="en-US" w:eastAsia="zh-CN"/>
        </w:rPr>
        <w:t>(100分)</w:t>
      </w:r>
    </w:p>
    <w:p>
      <w:pPr>
        <w:pStyle w:val="12"/>
        <w:numPr>
          <w:ilvl w:val="0"/>
          <w:numId w:val="0"/>
        </w:numPr>
        <w:spacing w:line="332" w:lineRule="exact"/>
        <w:ind w:left="450" w:leftChars="0"/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</w:pPr>
    </w:p>
    <w:p>
      <w:pPr>
        <w:pStyle w:val="3"/>
        <w:spacing w:before="64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1.</w:t>
      </w:r>
      <w:r>
        <w:rPr>
          <w:rFonts w:hint="eastAsia" w:ascii="宋体" w:hAnsi="宋体" w:eastAsia="宋体" w:cs="宋体"/>
          <w:color w:val="231F20"/>
          <w:spacing w:val="20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eastAsia="zh-CN"/>
        </w:rPr>
        <w:t>考试方法：分别组织男女考生进行比赛。赛制一局，</w:t>
      </w: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eastAsia="zh-CN"/>
        </w:rPr>
        <w:t>分每球得分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pacing w:val="-1"/>
          <w:sz w:val="21"/>
          <w:szCs w:val="21"/>
          <w:lang w:eastAsia="zh-CN"/>
        </w:rPr>
        <w:t>,</w:t>
      </w:r>
      <w:r>
        <w:rPr>
          <w:rFonts w:hint="eastAsia" w:ascii="宋体" w:hAnsi="宋体" w:eastAsia="宋体" w:cs="宋体"/>
          <w:color w:val="231F20"/>
          <w:spacing w:val="-1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eastAsia="zh-CN"/>
        </w:rPr>
        <w:t>分交换场地，</w:t>
      </w: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val="en-US" w:eastAsia="zh-CN"/>
        </w:rPr>
        <w:t>20平后需赢2分</w:t>
      </w: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eastAsia="zh-CN"/>
        </w:rPr>
        <w:t>才能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获胜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(最高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30分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)。</w:t>
      </w:r>
    </w:p>
    <w:p>
      <w:pPr>
        <w:pStyle w:val="3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(1)6人（含）以内进行单循环赛，决出全部名次。考生的上场顺序由抽签决定。</w:t>
      </w:r>
    </w:p>
    <w:p>
      <w:pPr>
        <w:pStyle w:val="3"/>
        <w:spacing w:line="300" w:lineRule="auto"/>
        <w:ind w:left="0" w:leftChars="0" w:right="65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(2)6人以上采用阶段赛方法，第一阶段分组循环赛，第二阶段淘汰赛。 第一阶段：7至12人分为两组，12人以上分为四组。</w:t>
      </w:r>
    </w:p>
    <w:p>
      <w:pPr>
        <w:pStyle w:val="3"/>
        <w:spacing w:before="16" w:line="292" w:lineRule="auto"/>
        <w:ind w:left="0" w:leftChars="0" w:firstLine="432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eastAsia="zh-CN"/>
        </w:rPr>
        <w:t>分组方法：按运动技术等级高低排序，等级高者先抽签确定签位，下一级别考生的起始签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位根据上一级别签位确定。例，运动健将2人，抽签先确定1、2号签位；一级运动员3人，起始签位从3号开始，抽签确定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3,4,5</w:t>
      </w:r>
      <w:r>
        <w:rPr>
          <w:rFonts w:hint="eastAsia" w:ascii="宋体" w:hAnsi="宋体" w:eastAsia="宋体" w:cs="宋体"/>
          <w:color w:val="231F20"/>
          <w:spacing w:val="-6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号签位；二级运动员起始签位从6号开始。以此类推。签位确定后，按蛇形排列方法进行分组。</w:t>
      </w:r>
    </w:p>
    <w:p>
      <w:pPr>
        <w:pStyle w:val="3"/>
        <w:spacing w:before="17" w:line="300" w:lineRule="auto"/>
        <w:ind w:left="0" w:leftChars="0" w:firstLine="424" w:firstLineChars="200"/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pacing w:val="1"/>
          <w:sz w:val="21"/>
          <w:szCs w:val="21"/>
          <w:lang w:eastAsia="zh-CN"/>
        </w:rPr>
        <w:t>第二阶段：7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至12</w:t>
      </w:r>
      <w:r>
        <w:rPr>
          <w:rFonts w:hint="eastAsia" w:ascii="宋体" w:hAnsi="宋体" w:eastAsia="宋体" w:cs="宋体"/>
          <w:color w:val="231F20"/>
          <w:spacing w:val="2"/>
          <w:sz w:val="21"/>
          <w:szCs w:val="21"/>
          <w:lang w:eastAsia="zh-CN"/>
        </w:rPr>
        <w:t>人决出小组名次后，进行交叉淘汰决出全部名次。第一组第一对阵第二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组第二。第二组第一对阵第一组第二。以此类推。12</w:t>
      </w:r>
      <w:r>
        <w:rPr>
          <w:rFonts w:hint="eastAsia" w:ascii="宋体" w:hAnsi="宋体" w:eastAsia="宋体" w:cs="宋体"/>
          <w:color w:val="231F20"/>
          <w:spacing w:val="1"/>
          <w:sz w:val="21"/>
          <w:szCs w:val="21"/>
          <w:lang w:eastAsia="zh-CN"/>
        </w:rPr>
        <w:t>人以上决出小组名次后，进行交叉淘汰决出全部名次。第一组第一对阵第三组第二。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第二组第一对阵第四组第二。以此类推。其他内容参照中国羽毛球协会审定的羽毛球竞赛规则执行。</w:t>
      </w:r>
    </w:p>
    <w:p>
      <w:pPr>
        <w:pStyle w:val="3"/>
        <w:spacing w:before="17" w:line="300" w:lineRule="auto"/>
        <w:ind w:left="0" w:leftChars="0" w:firstLine="420" w:firstLineChars="200"/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</w:pPr>
    </w:p>
    <w:p>
      <w:pPr>
        <w:pStyle w:val="3"/>
        <w:numPr>
          <w:ilvl w:val="0"/>
          <w:numId w:val="3"/>
        </w:numPr>
        <w:spacing w:before="17" w:line="300" w:lineRule="auto"/>
        <w:ind w:left="0" w:leftChars="0" w:firstLine="420" w:firstLineChars="200"/>
        <w:rPr>
          <w:rFonts w:ascii="方正宋一简体" w:hAnsi="方正宋一简体" w:eastAsia="方正宋一简体"/>
          <w:color w:val="231F2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评分标准：</w:t>
      </w:r>
    </w:p>
    <w:p>
      <w:pPr>
        <w:pStyle w:val="3"/>
        <w:numPr>
          <w:ilvl w:val="0"/>
          <w:numId w:val="0"/>
        </w:numPr>
        <w:spacing w:before="17" w:line="300" w:lineRule="auto"/>
        <w:ind w:firstLine="420" w:firstLineChars="200"/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 xml:space="preserve">比赛成绩  </w:t>
      </w:r>
      <m:oMath>
        <m:r>
          <m:rPr/>
          <w:rPr>
            <w:rFonts w:hint="eastAsia" w:ascii="Cambria Math" w:hAnsi="Cambria Math" w:eastAsia="宋体" w:cs="宋体"/>
            <w:color w:val="231F20"/>
            <w:sz w:val="21"/>
            <w:szCs w:val="21"/>
            <w:lang w:eastAsia="zh-CN"/>
          </w:rPr>
          <m:t>=</m:t>
        </m:r>
        <m:f>
          <m:fPr>
            <m:ctrlPr>
              <w:rPr>
                <w:rFonts w:hint="eastAsia" w:ascii="Cambria Math" w:hAnsi="Cambria Math" w:eastAsia="宋体" w:cs="宋体"/>
                <w:i/>
                <w:color w:val="231F20"/>
                <w:sz w:val="21"/>
                <w:szCs w:val="21"/>
                <w:lang w:eastAsia="zh-CN"/>
              </w:rPr>
            </m:ctrlPr>
          </m:fPr>
          <m:num>
            <m:r>
              <m:rPr/>
              <w:rPr>
                <w:rFonts w:hint="eastAsia" w:ascii="Cambria Math" w:hAnsi="Cambria Math" w:eastAsia="宋体" w:cs="宋体"/>
                <w:color w:val="231F20"/>
                <w:sz w:val="21"/>
                <w:szCs w:val="21"/>
                <w:lang w:eastAsia="zh-CN"/>
              </w:rPr>
              <m:t>N−R+1</m:t>
            </m:r>
            <m:ctrlPr>
              <w:rPr>
                <w:rFonts w:hint="eastAsia" w:ascii="Cambria Math" w:hAnsi="Cambria Math" w:eastAsia="宋体" w:cs="宋体"/>
                <w:i/>
                <w:color w:val="231F20"/>
                <w:sz w:val="21"/>
                <w:szCs w:val="21"/>
                <w:lang w:eastAsia="zh-CN"/>
              </w:rPr>
            </m:ctrlPr>
          </m:num>
          <m:den>
            <m:r>
              <m:rPr/>
              <w:rPr>
                <w:rFonts w:hint="eastAsia" w:ascii="Cambria Math" w:hAnsi="Cambria Math" w:eastAsia="宋体" w:cs="宋体"/>
                <w:color w:val="231F20"/>
                <w:sz w:val="21"/>
                <w:szCs w:val="21"/>
                <w:lang w:eastAsia="zh-CN"/>
              </w:rPr>
              <m:t>N</m:t>
            </m:r>
            <m:ctrlPr>
              <w:rPr>
                <w:rFonts w:hint="eastAsia" w:ascii="Cambria Math" w:hAnsi="Cambria Math" w:eastAsia="宋体" w:cs="宋体"/>
                <w:i/>
                <w:color w:val="231F20"/>
                <w:sz w:val="21"/>
                <w:szCs w:val="21"/>
                <w:lang w:eastAsia="zh-CN"/>
              </w:rPr>
            </m:ctrlPr>
          </m:den>
        </m:f>
      </m:oMath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 xml:space="preserve"> ×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40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+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60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，其中N为该专项考试人数，R为比赛名次。</w:t>
      </w:r>
    </w:p>
    <w:p>
      <w:pPr>
        <w:pStyle w:val="3"/>
        <w:numPr>
          <w:ilvl w:val="0"/>
          <w:numId w:val="0"/>
        </w:numPr>
        <w:spacing w:before="17" w:line="300" w:lineRule="auto"/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</w:pPr>
    </w:p>
    <w:p>
      <w:pPr>
        <w:pStyle w:val="3"/>
        <w:spacing w:before="41"/>
        <w:ind w:left="5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（三）</w:t>
      </w: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eastAsia="zh-CN"/>
        </w:rPr>
        <w:t>实战能力</w:t>
      </w: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en-US" w:eastAsia="zh-CN"/>
        </w:rPr>
        <w:t>---</w:t>
      </w: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eastAsia="zh-CN"/>
        </w:rPr>
        <w:t>比赛</w:t>
      </w: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val="en-US" w:eastAsia="zh-CN"/>
        </w:rPr>
        <w:t>技、战术技评（70分）</w:t>
      </w:r>
    </w:p>
    <w:p>
      <w:pPr>
        <w:pStyle w:val="3"/>
        <w:ind w:left="0" w:leftChars="0" w:firstLine="40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pacing w:val="4"/>
          <w:sz w:val="21"/>
          <w:szCs w:val="21"/>
          <w:lang w:eastAsia="zh-CN"/>
        </w:rPr>
        <w:t>评分标准：考评员参照实战能力评分细则（表</w:t>
      </w:r>
      <w:r>
        <w:rPr>
          <w:rFonts w:hint="eastAsia" w:ascii="宋体" w:hAnsi="宋体" w:eastAsia="宋体" w:cs="宋体"/>
          <w:color w:val="231F20"/>
          <w:spacing w:val="-5"/>
          <w:sz w:val="21"/>
          <w:szCs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231F20"/>
          <w:spacing w:val="3"/>
          <w:sz w:val="21"/>
          <w:szCs w:val="21"/>
          <w:lang w:eastAsia="zh-CN"/>
        </w:rPr>
        <w:t>），对考生动作的正确、协调、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连贯程度，技、战术运用水平以及战术意识等方面进行综合评定。采用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>70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分制评分，分数至多可到小数点后1位。</w:t>
      </w:r>
    </w:p>
    <w:p>
      <w:pPr>
        <w:pStyle w:val="3"/>
        <w:spacing w:before="10"/>
        <w:ind w:right="2420"/>
        <w:jc w:val="both"/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</w:pPr>
    </w:p>
    <w:p>
      <w:pPr>
        <w:pStyle w:val="3"/>
        <w:spacing w:before="10"/>
        <w:ind w:right="242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 xml:space="preserve">表 </w:t>
      </w:r>
      <w:r>
        <w:rPr>
          <w:rFonts w:hint="eastAsia" w:ascii="宋体" w:hAnsi="宋体" w:eastAsia="宋体" w:cs="宋体"/>
          <w:color w:val="231F20"/>
          <w:sz w:val="21"/>
          <w:szCs w:val="21"/>
          <w:lang w:val="en-US" w:eastAsia="zh-CN"/>
        </w:rPr>
        <w:t xml:space="preserve">2   </w:t>
      </w:r>
      <w:r>
        <w:rPr>
          <w:rFonts w:hint="eastAsia" w:ascii="宋体" w:hAnsi="宋体" w:eastAsia="宋体" w:cs="宋体"/>
          <w:color w:val="231F20"/>
          <w:sz w:val="21"/>
          <w:szCs w:val="21"/>
          <w:lang w:eastAsia="zh-CN"/>
        </w:rPr>
        <w:t>比赛技、战术技评评分细则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8"/>
        <w:tblW w:w="8333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5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2649" w:type="dxa"/>
            <w:tcBorders>
              <w:top w:val="single" w:color="3CB4E7" w:sz="12" w:space="0"/>
              <w:left w:val="nil"/>
              <w:bottom w:val="single" w:color="3CB4E7" w:sz="2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等级（分值范围）</w:t>
            </w:r>
          </w:p>
        </w:tc>
        <w:tc>
          <w:tcPr>
            <w:tcW w:w="5684" w:type="dxa"/>
            <w:tcBorders>
              <w:top w:val="single" w:color="3CB4E7" w:sz="12" w:space="0"/>
              <w:left w:val="nil"/>
              <w:bottom w:val="single" w:color="3CB4E7" w:sz="2" w:space="0"/>
              <w:right w:val="nil"/>
            </w:tcBorders>
            <w:shd w:val="clear" w:color="auto" w:fill="B7DBF4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评价标准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264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优（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70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 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55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分）</w:t>
            </w:r>
          </w:p>
        </w:tc>
        <w:tc>
          <w:tcPr>
            <w:tcW w:w="568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spacing w:line="270" w:lineRule="auto"/>
              <w:ind w:right="201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动作正确，协调、连贯、实效；技术运用合理、运用效果好；战术意识强、实战效果较好。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良 (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54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 ～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 )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spacing w:line="270" w:lineRule="auto"/>
              <w:ind w:right="201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动作正确，协调；技术运用较合理、运用效果较好；战术意识较强、实战效果较好。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中 (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49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～ 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 分 )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spacing w:line="270" w:lineRule="auto"/>
              <w:ind w:right="201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动作基本正确，协调；技术运用基本合理、运用效果一般；战术意识一般、效果一般。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64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差 (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35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 分以下 )</w:t>
            </w:r>
          </w:p>
        </w:tc>
        <w:tc>
          <w:tcPr>
            <w:tcW w:w="5684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1"/>
              <w:spacing w:line="270" w:lineRule="auto"/>
              <w:ind w:right="201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动作不正确，不协调；技术动作不合理、运用效果差；战术意识差、效果较差。</w:t>
            </w:r>
          </w:p>
        </w:tc>
      </w:tr>
    </w:tbl>
    <w:p>
      <w:pPr>
        <w:rPr>
          <w:rFonts w:hint="eastAsia" w:eastAsiaTheme="minorEastAsia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宋一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E1AE1A"/>
    <w:multiLevelType w:val="singleLevel"/>
    <w:tmpl w:val="DDE1AE1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784A991"/>
    <w:multiLevelType w:val="singleLevel"/>
    <w:tmpl w:val="5784A991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784A9A2"/>
    <w:multiLevelType w:val="singleLevel"/>
    <w:tmpl w:val="5784A9A2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33D64"/>
    <w:rsid w:val="020829C9"/>
    <w:rsid w:val="02220F54"/>
    <w:rsid w:val="02353A04"/>
    <w:rsid w:val="02AE0CA7"/>
    <w:rsid w:val="02F712D3"/>
    <w:rsid w:val="03DA66DD"/>
    <w:rsid w:val="04251A6B"/>
    <w:rsid w:val="06BD229F"/>
    <w:rsid w:val="0A252635"/>
    <w:rsid w:val="0A7B4003"/>
    <w:rsid w:val="0BFA348E"/>
    <w:rsid w:val="0C577056"/>
    <w:rsid w:val="0CA701B6"/>
    <w:rsid w:val="0D4A47EB"/>
    <w:rsid w:val="0E581448"/>
    <w:rsid w:val="0ECD4770"/>
    <w:rsid w:val="0F8F1D24"/>
    <w:rsid w:val="11DC0DD3"/>
    <w:rsid w:val="1290088A"/>
    <w:rsid w:val="129F2DB5"/>
    <w:rsid w:val="14B53E1E"/>
    <w:rsid w:val="150C68CB"/>
    <w:rsid w:val="182E0104"/>
    <w:rsid w:val="183218BE"/>
    <w:rsid w:val="183B0173"/>
    <w:rsid w:val="18821AE5"/>
    <w:rsid w:val="188E6DCA"/>
    <w:rsid w:val="1B66115F"/>
    <w:rsid w:val="1BC2272A"/>
    <w:rsid w:val="1EA06DFE"/>
    <w:rsid w:val="1EC122EC"/>
    <w:rsid w:val="20C5666E"/>
    <w:rsid w:val="21A8437D"/>
    <w:rsid w:val="229677D4"/>
    <w:rsid w:val="24FE4E34"/>
    <w:rsid w:val="261958FF"/>
    <w:rsid w:val="271D3AB4"/>
    <w:rsid w:val="27566865"/>
    <w:rsid w:val="29174F76"/>
    <w:rsid w:val="2AC704BD"/>
    <w:rsid w:val="2B0C3A0D"/>
    <w:rsid w:val="2B2478C0"/>
    <w:rsid w:val="2BB63320"/>
    <w:rsid w:val="2FB21B3B"/>
    <w:rsid w:val="311961A0"/>
    <w:rsid w:val="325E6002"/>
    <w:rsid w:val="327258F2"/>
    <w:rsid w:val="32E37E75"/>
    <w:rsid w:val="331A3728"/>
    <w:rsid w:val="341D3555"/>
    <w:rsid w:val="38DA3538"/>
    <w:rsid w:val="3ADF3382"/>
    <w:rsid w:val="3B2036FB"/>
    <w:rsid w:val="3B3F3146"/>
    <w:rsid w:val="3C773BE9"/>
    <w:rsid w:val="3DFC5388"/>
    <w:rsid w:val="3FA94547"/>
    <w:rsid w:val="41282A04"/>
    <w:rsid w:val="412F1803"/>
    <w:rsid w:val="423C5D17"/>
    <w:rsid w:val="43C070AC"/>
    <w:rsid w:val="452D11C3"/>
    <w:rsid w:val="47961EA1"/>
    <w:rsid w:val="480716E7"/>
    <w:rsid w:val="499612EB"/>
    <w:rsid w:val="4AE21420"/>
    <w:rsid w:val="4AFE33E3"/>
    <w:rsid w:val="4BF8374A"/>
    <w:rsid w:val="4C9B5CBD"/>
    <w:rsid w:val="4D3143A6"/>
    <w:rsid w:val="4D8003B6"/>
    <w:rsid w:val="4E6B0444"/>
    <w:rsid w:val="4F8107B5"/>
    <w:rsid w:val="4FFC185E"/>
    <w:rsid w:val="505B016E"/>
    <w:rsid w:val="509961B9"/>
    <w:rsid w:val="541D312A"/>
    <w:rsid w:val="55F561E4"/>
    <w:rsid w:val="56154019"/>
    <w:rsid w:val="570F50B3"/>
    <w:rsid w:val="57FD07F3"/>
    <w:rsid w:val="583322C7"/>
    <w:rsid w:val="584B00F8"/>
    <w:rsid w:val="5A5665AF"/>
    <w:rsid w:val="5B7406F2"/>
    <w:rsid w:val="5D9458F7"/>
    <w:rsid w:val="5DA9702B"/>
    <w:rsid w:val="5E95311C"/>
    <w:rsid w:val="600F5E2A"/>
    <w:rsid w:val="60783C30"/>
    <w:rsid w:val="616703F0"/>
    <w:rsid w:val="64220960"/>
    <w:rsid w:val="696A599F"/>
    <w:rsid w:val="6B412801"/>
    <w:rsid w:val="6BEF3667"/>
    <w:rsid w:val="6D4B1F09"/>
    <w:rsid w:val="6E76039E"/>
    <w:rsid w:val="74052A1B"/>
    <w:rsid w:val="752B5127"/>
    <w:rsid w:val="773C362E"/>
    <w:rsid w:val="78B6280F"/>
    <w:rsid w:val="796D6E2F"/>
    <w:rsid w:val="79E075B8"/>
    <w:rsid w:val="7ACE2783"/>
    <w:rsid w:val="7AE24638"/>
    <w:rsid w:val="7BA85E79"/>
    <w:rsid w:val="7CCE77E1"/>
    <w:rsid w:val="7D4576AF"/>
    <w:rsid w:val="7F7F7BBE"/>
    <w:rsid w:val="7FE5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72"/>
      <w:ind w:left="507"/>
    </w:pPr>
    <w:rPr>
      <w:rFonts w:ascii="方正宋一简体" w:hAnsi="方正宋一简体" w:eastAsia="方正宋一简体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标题 31"/>
    <w:basedOn w:val="1"/>
    <w:qFormat/>
    <w:uiPriority w:val="1"/>
    <w:pPr>
      <w:ind w:left="500"/>
      <w:outlineLvl w:val="3"/>
    </w:pPr>
    <w:rPr>
      <w:rFonts w:ascii="Arial Unicode MS" w:hAnsi="Arial Unicode MS" w:eastAsia="Arial Unicode MS"/>
      <w:sz w:val="28"/>
      <w:szCs w:val="28"/>
    </w:rPr>
  </w:style>
  <w:style w:type="paragraph" w:customStyle="1" w:styleId="11">
    <w:name w:val="Table Paragraph"/>
    <w:basedOn w:val="1"/>
    <w:qFormat/>
    <w:uiPriority w:val="1"/>
  </w:style>
  <w:style w:type="paragraph" w:customStyle="1" w:styleId="12">
    <w:name w:val="标题 41"/>
    <w:basedOn w:val="1"/>
    <w:qFormat/>
    <w:uiPriority w:val="1"/>
    <w:pPr>
      <w:ind w:left="444"/>
      <w:outlineLvl w:val="4"/>
    </w:pPr>
    <w:rPr>
      <w:rFonts w:ascii="Arial Unicode MS" w:hAnsi="Arial Unicode MS" w:eastAsia="Arial Unicode M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谢明正</cp:lastModifiedBy>
  <cp:lastPrinted>2016-07-14T00:34:00Z</cp:lastPrinted>
  <dcterms:modified xsi:type="dcterms:W3CDTF">2022-03-14T02:12:59Z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716C0B1E91C949E7BECC415D98682FDF</vt:lpwstr>
  </property>
</Properties>
</file>