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zh-CN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zh-CN" w:eastAsia="zh-CN" w:bidi="ar-SA"/>
        </w:rPr>
      </w:pPr>
      <w:r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zh-CN" w:eastAsia="zh-CN" w:bidi="ar-SA"/>
        </w:rPr>
        <w:t>20</w:t>
      </w:r>
      <w:r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en-US" w:eastAsia="zh-CN" w:bidi="ar-SA"/>
        </w:rPr>
        <w:t>2</w:t>
      </w:r>
      <w:r>
        <w:rPr>
          <w:rStyle w:val="6"/>
          <w:rFonts w:hint="eastAsia"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en-US" w:eastAsia="zh-CN" w:bidi="ar-SA"/>
        </w:rPr>
        <w:t>2</w:t>
      </w:r>
      <w:r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sz w:val="44"/>
          <w:szCs w:val="44"/>
          <w:lang w:val="zh-CN" w:eastAsia="zh-CN" w:bidi="ar-SA"/>
        </w:rPr>
        <w:t>年专升本网球测试细则及评分标准</w:t>
      </w:r>
    </w:p>
    <w:p>
      <w:pPr>
        <w:pStyle w:val="11"/>
        <w:widowControl/>
        <w:snapToGrid/>
        <w:spacing w:before="0" w:beforeAutospacing="0" w:after="0" w:afterAutospacing="0" w:line="395" w:lineRule="exact"/>
        <w:ind w:left="0" w:leftChars="0" w:firstLineChars="0"/>
        <w:textAlignment w:val="baseline"/>
        <w:rPr>
          <w:rStyle w:val="6"/>
          <w:rFonts w:ascii="Arial Unicode MS" w:hAnsi="Arial Unicode MS" w:eastAsia="Times New Roman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</w:pPr>
    </w:p>
    <w:p>
      <w:pPr>
        <w:pStyle w:val="11"/>
        <w:widowControl/>
        <w:snapToGrid/>
        <w:spacing w:before="0" w:beforeAutospacing="0" w:after="0" w:afterAutospacing="0" w:line="395" w:lineRule="exact"/>
        <w:ind w:left="499" w:leftChars="227"/>
        <w:textAlignment w:val="baseline"/>
        <w:rPr>
          <w:rStyle w:val="6"/>
          <w:rFonts w:ascii="Arial Unicode MS" w:hAnsi="Arial Unicode MS" w:eastAsia="Times New Roman"/>
          <w:b w:val="0"/>
          <w:i w:val="0"/>
          <w:caps w:val="0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6"/>
          <w:rFonts w:ascii="Arial Unicode MS" w:hAnsi="Arial Unicode MS" w:eastAsia="Times New Roman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  <w:t>一、考核指标与所占分值(总分300分)</w:t>
      </w:r>
    </w:p>
    <w:tbl>
      <w:tblPr>
        <w:tblStyle w:val="4"/>
        <w:tblW w:w="7442" w:type="dxa"/>
        <w:tblInd w:w="9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919"/>
        <w:gridCol w:w="1919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14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类  别</w:t>
            </w:r>
          </w:p>
        </w:tc>
        <w:tc>
          <w:tcPr>
            <w:tcW w:w="191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专项素质</w:t>
            </w:r>
          </w:p>
        </w:tc>
        <w:tc>
          <w:tcPr>
            <w:tcW w:w="191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实战能力</w:t>
            </w:r>
          </w:p>
        </w:tc>
        <w:tc>
          <w:tcPr>
            <w:tcW w:w="21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实战能力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4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考  核</w:t>
            </w:r>
          </w:p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指  标</w:t>
            </w:r>
          </w:p>
        </w:tc>
        <w:tc>
          <w:tcPr>
            <w:tcW w:w="191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扇形跑</w:t>
            </w:r>
          </w:p>
        </w:tc>
        <w:tc>
          <w:tcPr>
            <w:tcW w:w="191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比赛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成绩</w:t>
            </w:r>
          </w:p>
        </w:tc>
        <w:tc>
          <w:tcPr>
            <w:tcW w:w="21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比赛技、战术技评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43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分  值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50分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150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分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100分</w:t>
            </w:r>
          </w:p>
        </w:tc>
      </w:tr>
    </w:tbl>
    <w:p>
      <w:pPr>
        <w:snapToGrid/>
        <w:spacing w:before="0" w:beforeAutospacing="0" w:after="0" w:afterAutospacing="0" w:line="395" w:lineRule="exact"/>
        <w:textAlignment w:val="baseline"/>
        <w:rPr>
          <w:rStyle w:val="6"/>
          <w:rFonts w:ascii="Arial Unicode MS" w:hAnsi="Arial Unicode MS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395" w:lineRule="exact"/>
        <w:ind w:left="500"/>
        <w:textAlignment w:val="baseline"/>
        <w:rPr>
          <w:rStyle w:val="6"/>
          <w:rFonts w:ascii="Arial Unicode MS" w:hAnsi="Arial Unicode MS" w:eastAsia="Times New Roman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</w:pPr>
      <w:r>
        <w:rPr>
          <w:rStyle w:val="6"/>
          <w:rFonts w:ascii="Arial Unicode MS" w:hAnsi="Arial Unicode MS" w:eastAsia="Times New Roman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  <w:t>考试方法与评分标准</w:t>
      </w:r>
    </w:p>
    <w:p>
      <w:pPr>
        <w:pStyle w:val="10"/>
        <w:widowControl/>
        <w:snapToGrid/>
        <w:spacing w:before="0" w:beforeAutospacing="0" w:after="0" w:afterAutospacing="0" w:line="240" w:lineRule="auto"/>
        <w:ind w:left="0" w:leftChars="0" w:firstLine="240" w:firstLineChars="100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4"/>
          <w:szCs w:val="24"/>
          <w:lang w:val="en-US" w:eastAsia="zh-CN" w:bidi="ar-SA"/>
        </w:rPr>
        <w:t>（一）专项素质</w:t>
      </w:r>
    </w:p>
    <w:p>
      <w:pPr>
        <w:pStyle w:val="9"/>
        <w:widowControl/>
        <w:snapToGrid/>
        <w:spacing w:before="41" w:beforeAutospacing="0" w:after="0" w:afterAutospacing="0" w:line="240" w:lineRule="auto"/>
        <w:ind w:left="0" w:leftChars="0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扇形跑</w:t>
      </w:r>
    </w:p>
    <w:p>
      <w:pPr>
        <w:pStyle w:val="9"/>
        <w:widowControl/>
        <w:snapToGrid/>
        <w:spacing w:before="65" w:beforeAutospacing="0" w:after="0" w:afterAutospacing="0" w:line="300" w:lineRule="auto"/>
        <w:ind w:left="0" w:leftChars="0" w:right="82" w:firstLine="412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-2"/>
          <w:w w:val="100"/>
          <w:sz w:val="21"/>
          <w:szCs w:val="21"/>
          <w:lang w:val="en-US" w:eastAsia="zh-CN" w:bidi="ar-SA"/>
        </w:rPr>
        <w:t>1.考试方法：将一支球拍放在底线中点后面，拍头指向球网，5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个球的位置如图8-1所示。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2"/>
          <w:w w:val="100"/>
          <w:sz w:val="21"/>
          <w:szCs w:val="21"/>
          <w:lang w:val="en-US" w:eastAsia="zh-CN" w:bidi="ar-SA"/>
        </w:rPr>
        <w:t>考生站在起点处（底线中点），听到“预备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-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2"/>
          <w:w w:val="100"/>
          <w:sz w:val="21"/>
          <w:szCs w:val="21"/>
          <w:lang w:val="en-US" w:eastAsia="zh-CN" w:bidi="ar-SA"/>
        </w:rPr>
        <w:t>开始”口令（计时开始），先向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2"/>
          <w:w w:val="100"/>
          <w:sz w:val="21"/>
          <w:szCs w:val="21"/>
          <w:lang w:val="en-US" w:eastAsia="zh-CN" w:bidi="ar-SA"/>
        </w:rPr>
        <w:t>号点跑动，并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将1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号点的球取回放到拍面上，再向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2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号点跑动，按逆时针方向依次将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5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4"/>
          <w:w w:val="100"/>
          <w:sz w:val="21"/>
          <w:szCs w:val="21"/>
          <w:lang w:val="en-US" w:eastAsia="zh-CN" w:bidi="ar-SA"/>
        </w:rPr>
        <w:t>个点的球取回并放在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球拍拍面上，计时结束，记录完成的时间。</w:t>
      </w:r>
    </w:p>
    <w:p>
      <w:pPr>
        <w:snapToGrid/>
        <w:spacing w:before="11" w:beforeAutospacing="0" w:after="0" w:afterAutospacing="0" w:line="240" w:lineRule="auto"/>
        <w:textAlignment w:val="baseline"/>
        <w:rPr>
          <w:rStyle w:val="6"/>
          <w:rFonts w:ascii="方正宋一简体" w:hAnsi="方正宋一简体" w:eastAsia="方正宋一简体"/>
          <w:b w:val="0"/>
          <w:i w:val="0"/>
          <w:caps w:val="0"/>
          <w:spacing w:val="0"/>
          <w:w w:val="100"/>
          <w:sz w:val="7"/>
          <w:szCs w:val="7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tLeast"/>
        <w:ind w:left="2795"/>
        <w:textAlignment w:val="baseline"/>
        <w:rPr>
          <w:rStyle w:val="6"/>
          <w:rFonts w:ascii="方正宋一简体" w:hAnsi="方正宋一简体" w:eastAsia="方正宋一简体"/>
          <w:b w:val="0"/>
          <w:i w:val="0"/>
          <w:caps w:val="0"/>
          <w:spacing w:val="0"/>
          <w:w w:val="100"/>
          <w:sz w:val="20"/>
          <w:szCs w:val="20"/>
          <w:lang w:val="en-US" w:eastAsia="en-US" w:bidi="ar-SA"/>
        </w:rPr>
      </w:pPr>
      <w:r>
        <w:rPr>
          <w:rStyle w:val="6"/>
          <w:rFonts w:ascii="方正宋一简体" w:hAnsi="方正宋一简体" w:eastAsia="方正宋一简体"/>
          <w:b w:val="0"/>
          <w:i w:val="0"/>
          <w:caps w:val="0"/>
          <w:spacing w:val="0"/>
          <w:w w:val="100"/>
          <w:sz w:val="20"/>
          <w:szCs w:val="20"/>
          <w:lang w:val="en-US" w:eastAsia="zh-CN" w:bidi="ar-SA"/>
        </w:rPr>
        <w:pict>
          <v:shape id="_x0000_i1025" o:spt="75" type="#_x0000_t75" style="height:143.65pt;width:143.35pt;" filled="f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snapToGrid/>
        <w:spacing w:before="5" w:beforeAutospacing="0" w:after="0" w:afterAutospacing="0" w:line="240" w:lineRule="auto"/>
        <w:textAlignment w:val="baseline"/>
        <w:rPr>
          <w:rStyle w:val="6"/>
          <w:rFonts w:ascii="方正宋一简体" w:hAnsi="方正宋一简体" w:eastAsia="方正宋一简体"/>
          <w:b w:val="0"/>
          <w:i w:val="0"/>
          <w:caps w:val="0"/>
          <w:spacing w:val="0"/>
          <w:w w:val="100"/>
          <w:sz w:val="4"/>
          <w:szCs w:val="4"/>
          <w:lang w:val="en-US" w:eastAsia="en-US" w:bidi="ar-SA"/>
        </w:rPr>
      </w:pPr>
    </w:p>
    <w:p>
      <w:pPr>
        <w:snapToGrid/>
        <w:spacing w:before="2" w:beforeAutospacing="0" w:after="0" w:afterAutospacing="0" w:line="240" w:lineRule="auto"/>
        <w:ind w:firstLine="3240" w:firstLineChars="18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18"/>
          <w:szCs w:val="18"/>
          <w:lang w:val="en-US" w:eastAsia="zh-CN" w:bidi="ar-SA"/>
        </w:rPr>
        <w:t>图1 扇形跑示意图</w:t>
      </w:r>
    </w:p>
    <w:p>
      <w:pPr>
        <w:pStyle w:val="9"/>
        <w:widowControl/>
        <w:snapToGrid/>
        <w:spacing w:before="0" w:beforeAutospacing="0" w:after="0" w:afterAutospacing="0" w:line="240" w:lineRule="auto"/>
        <w:ind w:left="500"/>
        <w:textAlignment w:val="baseline"/>
        <w:rPr>
          <w:rStyle w:val="6"/>
          <w:rFonts w:ascii="方正宋三简体" w:hAnsi="方正宋三简体" w:eastAsia="方正宋三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2．评分标准：见表1。</w:t>
      </w:r>
    </w:p>
    <w:p>
      <w:pPr>
        <w:pStyle w:val="9"/>
        <w:widowControl/>
        <w:snapToGrid/>
        <w:spacing w:before="10" w:beforeAutospacing="0" w:after="0" w:afterAutospacing="0" w:line="240" w:lineRule="auto"/>
        <w:ind w:left="2864" w:right="2481"/>
        <w:jc w:val="center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en-US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en-US" w:bidi="ar-SA"/>
        </w:rPr>
        <w:t>表 1  扇形跑评分表</w:t>
      </w:r>
    </w:p>
    <w:p>
      <w:pPr>
        <w:snapToGrid/>
        <w:spacing w:before="2" w:beforeAutospacing="0" w:after="0" w:afterAutospacing="0" w:line="240" w:lineRule="auto"/>
        <w:textAlignment w:val="baseline"/>
        <w:rPr>
          <w:rStyle w:val="6"/>
          <w:rFonts w:ascii="方正宋三简体" w:hAnsi="方正宋三简体" w:eastAsia="方正宋三简体"/>
          <w:b w:val="0"/>
          <w:i w:val="0"/>
          <w:caps w:val="0"/>
          <w:spacing w:val="0"/>
          <w:w w:val="100"/>
          <w:sz w:val="3"/>
          <w:szCs w:val="3"/>
          <w:lang w:val="en-US" w:eastAsia="en-US" w:bidi="ar-SA"/>
        </w:rPr>
      </w:pPr>
    </w:p>
    <w:tbl>
      <w:tblPr>
        <w:tblStyle w:val="4"/>
        <w:tblW w:w="8321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459"/>
        <w:gridCol w:w="1459"/>
        <w:gridCol w:w="1459"/>
        <w:gridCol w:w="1459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026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918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成绩</w:t>
            </w:r>
          </w:p>
        </w:tc>
        <w:tc>
          <w:tcPr>
            <w:tcW w:w="1459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2918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026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459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02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</w:t>
            </w: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18〞4</w:t>
            </w:r>
          </w:p>
        </w:tc>
        <w:tc>
          <w:tcPr>
            <w:tcW w:w="145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19〞4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</w:t>
            </w: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18〞8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19〞8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</w:t>
            </w: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19〞2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</w:t>
            </w: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19〞6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02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〞2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02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20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〞5</w:t>
            </w:r>
          </w:p>
        </w:tc>
        <w:tc>
          <w:tcPr>
            <w:tcW w:w="145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16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</w:t>
            </w: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21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18〞4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22〞0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23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〞7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18〞7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02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18〞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19〞</w:t>
            </w: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—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注：男子用时在</w:t>
      </w:r>
      <w:r>
        <w:rPr>
          <w:rFonts w:hint="eastAsia" w:ascii="宋体" w:hAnsi="宋体" w:eastAsia="宋体" w:cs="宋体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color w:val="231F20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"</w:t>
      </w:r>
      <w:r>
        <w:rPr>
          <w:rFonts w:hint="eastAsia" w:ascii="宋体" w:hAnsi="宋体" w:eastAsia="宋体" w:cs="宋体"/>
          <w:color w:val="231F2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以上，女子在</w:t>
      </w:r>
      <w:r>
        <w:rPr>
          <w:rFonts w:hint="eastAsia" w:ascii="宋体" w:hAnsi="宋体" w:eastAsia="宋体" w:cs="宋体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hint="eastAsia" w:ascii="宋体" w:hAnsi="宋体" w:cs="宋体"/>
          <w:color w:val="231F20"/>
          <w:sz w:val="21"/>
          <w:szCs w:val="21"/>
          <w:lang w:val="en-US" w:eastAsia="zh-CN"/>
        </w:rPr>
        <w:t>23</w:t>
      </w: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"</w:t>
      </w:r>
      <w:r>
        <w:rPr>
          <w:rFonts w:hint="eastAsia" w:ascii="宋体" w:hAnsi="宋体" w:eastAsia="宋体" w:cs="宋体"/>
          <w:color w:val="231F2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以上，计</w:t>
      </w:r>
      <w:r>
        <w:rPr>
          <w:rFonts w:hint="eastAsia" w:ascii="宋体" w:hAnsi="宋体" w:eastAsia="宋体" w:cs="宋体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0</w:t>
      </w:r>
      <w:r>
        <w:rPr>
          <w:rFonts w:hint="eastAsia" w:ascii="宋体" w:hAnsi="宋体" w:eastAsia="宋体" w:cs="宋体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z w:val="21"/>
          <w:szCs w:val="21"/>
          <w:lang w:eastAsia="zh-CN"/>
        </w:rPr>
        <w:t>分。</w:t>
      </w:r>
      <w:bookmarkStart w:id="0" w:name="_GoBack"/>
      <w:bookmarkEnd w:id="0"/>
    </w:p>
    <w:p>
      <w:pPr>
        <w:snapToGrid/>
        <w:spacing w:before="0" w:beforeAutospacing="0" w:after="0" w:afterAutospacing="0" w:line="395" w:lineRule="exact"/>
        <w:textAlignment w:val="baseline"/>
        <w:rPr>
          <w:rStyle w:val="6"/>
          <w:rFonts w:ascii="Arial Unicode MS" w:hAnsi="Arial Unicode MS" w:eastAsia="Times New Roman"/>
          <w:b w:val="0"/>
          <w:i w:val="0"/>
          <w:caps w:val="0"/>
          <w:color w:val="3CB4E7"/>
          <w:spacing w:val="0"/>
          <w:w w:val="100"/>
          <w:sz w:val="28"/>
          <w:szCs w:val="28"/>
          <w:lang w:val="en-US" w:eastAsia="zh-CN" w:bidi="ar-SA"/>
        </w:rPr>
      </w:pPr>
    </w:p>
    <w:p>
      <w:pPr>
        <w:pStyle w:val="10"/>
        <w:widowControl/>
        <w:snapToGrid/>
        <w:spacing w:before="0" w:beforeAutospacing="0" w:after="0" w:afterAutospacing="0" w:line="332" w:lineRule="exact"/>
        <w:ind w:left="444"/>
        <w:textAlignment w:val="baseline"/>
        <w:rPr>
          <w:rStyle w:val="6"/>
          <w:rFonts w:ascii="Arial Unicode MS" w:hAnsi="Arial Unicode MS" w:eastAsia="Times New Roman"/>
          <w:b w:val="0"/>
          <w:i w:val="0"/>
          <w:caps w:val="0"/>
          <w:color w:val="231F20"/>
          <w:spacing w:val="0"/>
          <w:w w:val="100"/>
          <w:sz w:val="24"/>
          <w:szCs w:val="24"/>
          <w:lang w:val="en-US" w:eastAsia="zh-CN" w:bidi="ar-SA"/>
        </w:rPr>
      </w:pPr>
      <w:r>
        <w:rPr>
          <w:rStyle w:val="6"/>
          <w:rFonts w:ascii="Arial Unicode MS" w:hAnsi="Arial Unicode MS" w:eastAsia="宋体"/>
          <w:b w:val="0"/>
          <w:i w:val="0"/>
          <w:caps w:val="0"/>
          <w:color w:val="231F20"/>
          <w:spacing w:val="0"/>
          <w:w w:val="100"/>
          <w:sz w:val="24"/>
          <w:szCs w:val="24"/>
          <w:lang w:val="en-US" w:eastAsia="zh-CN" w:bidi="ar-SA"/>
        </w:rPr>
        <w:t>（二）</w:t>
      </w:r>
      <w:r>
        <w:rPr>
          <w:rStyle w:val="6"/>
          <w:rFonts w:ascii="Arial Unicode MS" w:hAnsi="Arial Unicode MS" w:eastAsia="Times New Roman"/>
          <w:b w:val="0"/>
          <w:i w:val="0"/>
          <w:caps w:val="0"/>
          <w:color w:val="231F20"/>
          <w:spacing w:val="0"/>
          <w:w w:val="100"/>
          <w:sz w:val="24"/>
          <w:szCs w:val="24"/>
          <w:lang w:val="en-US" w:eastAsia="zh-CN" w:bidi="ar-SA"/>
        </w:rPr>
        <w:t>实战能力---比赛成绩(150分)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.考试方法：分别组织男女考生进行比赛。比赛采用（1）每人只有一个发球局，当出现1:1平局时，进行抢“5”决胜，发球局和抢“5”局都无占先。（2）如果出现人数多，而时间与场地不够的情况，那就直接进行抢“7”分决胜，当比分为6:6时，最后一分定胜负，谁先到“7”分谁赢下比赛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(1)5人（含）以内进行单循环赛，决出全部名次。考生的上场顺序由抽签决定。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(2)5人以上采用阶段赛方法，第一阶段分组循环赛，第二阶段淘汰赛。 第一阶段：6至8人分为两组，9至11人分为三组，12人（含）以上分为四组。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分组方法：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按运动技术等级高低排序，等级高者先抽签确定签位，下一级别考生的起始签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位根据上一级别签位确定。例，运动健将2人，抽签先确定1、2号签位；一级运动员3人，起始签位从3号开始，抽签确定3,4,5号签位；二级运动员起始签位从6号开始。以此类推。实行一次抽签分组入位，学生自己抽签确定组别与签位，组别与签位确定后，不能更改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第二阶段：如果是6至8人分成A、B两组决出小组名次后，进行同名次淘汰决出全部名次。A组第一对阵B组第一。A组第二对阵B组第二。以此类推。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9至11人以上分成A、B、C、三组决出小组名次后，每个组同名次打一个3人循环以决出全部名次。A组第一与B组第一和C组第一两两对决，以此决出前三名，以此类推。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12人（含）以上分成A、B、C、D四组决出小组名次后，进行同名次淘汰决出全部名次。A组第一对阵C组第一。B组第一对阵D第一。四个小组第一交叉对决，赢的两个争夺1、2名，输的两个争夺3、4名，以此类推。</w:t>
      </w:r>
    </w:p>
    <w:p>
      <w:pPr>
        <w:pStyle w:val="9"/>
        <w:widowControl/>
        <w:snapToGrid/>
        <w:spacing w:before="72" w:beforeAutospacing="0" w:after="0" w:afterAutospacing="0" w:line="300" w:lineRule="auto"/>
        <w:ind w:left="0" w:right="65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在比赛中，如果遇到特殊情况或因为特殊原因需要临时更改赛制及其他，由主考官与考生相应进行协调，最终由主考官决定。其他内容参照中国网球协会审定的网球竞赛规则执行。</w:t>
      </w:r>
    </w:p>
    <w:p>
      <w:pPr>
        <w:pStyle w:val="9"/>
        <w:widowControl/>
        <w:numPr>
          <w:ilvl w:val="0"/>
          <w:numId w:val="2"/>
        </w:numPr>
        <w:snapToGrid/>
        <w:spacing w:before="17" w:beforeAutospacing="0" w:after="0" w:afterAutospacing="0" w:line="300" w:lineRule="auto"/>
        <w:ind w:left="0" w:leftChars="0" w:firstLine="420" w:firstLineChars="200"/>
        <w:textAlignment w:val="baseline"/>
        <w:rPr>
          <w:rStyle w:val="6"/>
          <w:rFonts w:ascii="方正宋一简体" w:hAnsi="方正宋一简体" w:eastAsia="方正宋一简体"/>
          <w:b w:val="0"/>
          <w:i w:val="0"/>
          <w:caps w:val="0"/>
          <w:color w:val="231F20"/>
          <w:spacing w:val="0"/>
          <w:w w:val="100"/>
          <w:sz w:val="20"/>
          <w:szCs w:val="20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评分标准：</w:t>
      </w:r>
    </w:p>
    <w:p>
      <w:pPr>
        <w:pStyle w:val="9"/>
        <w:widowControl/>
        <w:snapToGrid/>
        <w:spacing w:before="17" w:beforeAutospacing="0" w:after="0" w:afterAutospacing="0" w:line="300" w:lineRule="auto"/>
        <w:ind w:left="507" w:firstLine="420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 xml:space="preserve">比赛成绩  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pict>
          <v:shape id="_x0000_i1026" o:spt="75" type="#_x0000_t75" style="height:32pt;width:57.25pt;" filled="f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 xml:space="preserve"> ×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90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+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6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0，其中N为该专项考试人数，R为比赛名次。</w:t>
      </w:r>
    </w:p>
    <w:p>
      <w:pPr>
        <w:pStyle w:val="9"/>
        <w:widowControl/>
        <w:snapToGrid/>
        <w:spacing w:before="41" w:beforeAutospacing="0" w:after="0" w:afterAutospacing="0" w:line="240" w:lineRule="auto"/>
        <w:ind w:left="0" w:leftChars="0" w:firstLineChars="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</w:p>
    <w:p>
      <w:pPr>
        <w:pStyle w:val="9"/>
        <w:widowControl/>
        <w:snapToGrid/>
        <w:spacing w:before="41" w:beforeAutospacing="0" w:after="0" w:afterAutospacing="0" w:line="240" w:lineRule="auto"/>
        <w:ind w:left="5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</w:p>
    <w:p>
      <w:pPr>
        <w:pStyle w:val="9"/>
        <w:widowControl/>
        <w:snapToGrid/>
        <w:spacing w:before="41" w:beforeAutospacing="0" w:after="0" w:afterAutospacing="0" w:line="240" w:lineRule="auto"/>
        <w:ind w:left="500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</w:p>
    <w:p>
      <w:pPr>
        <w:pStyle w:val="9"/>
        <w:widowControl/>
        <w:snapToGrid/>
        <w:spacing w:before="41" w:beforeAutospacing="0" w:after="0" w:afterAutospacing="0" w:line="240" w:lineRule="auto"/>
        <w:ind w:left="500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（三）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4"/>
          <w:w w:val="100"/>
          <w:sz w:val="21"/>
          <w:szCs w:val="21"/>
          <w:lang w:val="en-US" w:eastAsia="zh-CN" w:bidi="ar-SA"/>
        </w:rPr>
        <w:t>实战能力---比赛技、战术技评（100分）</w:t>
      </w:r>
    </w:p>
    <w:p>
      <w:pPr>
        <w:pStyle w:val="9"/>
        <w:widowControl/>
        <w:snapToGrid/>
        <w:spacing w:before="72" w:beforeAutospacing="0" w:after="0" w:afterAutospacing="0" w:line="240" w:lineRule="auto"/>
        <w:ind w:left="0" w:firstLine="436" w:firstLineChars="200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4"/>
          <w:w w:val="100"/>
          <w:sz w:val="21"/>
          <w:szCs w:val="21"/>
          <w:lang w:val="en-US" w:eastAsia="zh-CN" w:bidi="ar-SA"/>
        </w:rPr>
        <w:t>评分标准：考评员参照实战能力评分细则（表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3"/>
          <w:w w:val="100"/>
          <w:sz w:val="21"/>
          <w:szCs w:val="21"/>
          <w:lang w:val="en-US" w:eastAsia="zh-CN" w:bidi="ar-SA"/>
        </w:rPr>
        <w:t>1），对考生动作的正确、协调、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连贯熟练程度，技、战术运用水平以及意识等方面进行综合评定。采用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100</w:t>
      </w: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分制评分，分数至多可到小数点后1位。</w:t>
      </w:r>
    </w:p>
    <w:p>
      <w:pPr>
        <w:pStyle w:val="9"/>
        <w:widowControl/>
        <w:snapToGrid/>
        <w:spacing w:before="10" w:beforeAutospacing="0" w:after="0" w:afterAutospacing="0" w:line="240" w:lineRule="auto"/>
        <w:ind w:left="507" w:right="2420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</w:p>
    <w:p>
      <w:pPr>
        <w:pStyle w:val="9"/>
        <w:widowControl/>
        <w:snapToGrid/>
        <w:spacing w:before="10" w:beforeAutospacing="0" w:after="0" w:afterAutospacing="0" w:line="240" w:lineRule="auto"/>
        <w:ind w:left="507" w:right="2420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spacing w:val="0"/>
          <w:w w:val="100"/>
          <w:sz w:val="21"/>
          <w:szCs w:val="21"/>
          <w:lang w:val="en-US" w:eastAsia="zh-CN" w:bidi="ar-SA"/>
        </w:rPr>
      </w:pPr>
      <w:r>
        <w:rPr>
          <w:rStyle w:val="6"/>
          <w:rFonts w:ascii="宋体" w:hAnsi="宋体" w:eastAsia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  <w:t>表 2   比赛技、战术技评评分细则</w:t>
      </w:r>
    </w:p>
    <w:tbl>
      <w:tblPr>
        <w:tblStyle w:val="4"/>
        <w:tblW w:w="8333" w:type="dxa"/>
        <w:tblInd w:w="-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9"/>
        <w:gridCol w:w="5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</w:trPr>
        <w:tc>
          <w:tcPr>
            <w:tcW w:w="2649" w:type="dxa"/>
            <w:tcBorders>
              <w:top w:val="single" w:color="3CB4E7" w:sz="12" w:space="0"/>
              <w:left w:val="nil"/>
              <w:bottom w:val="single" w:color="3CB4E7" w:sz="2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等级（分值范围）</w:t>
            </w:r>
          </w:p>
        </w:tc>
        <w:tc>
          <w:tcPr>
            <w:tcW w:w="5684" w:type="dxa"/>
            <w:tcBorders>
              <w:top w:val="single" w:color="3CB4E7" w:sz="12" w:space="0"/>
              <w:left w:val="nil"/>
              <w:bottom w:val="single" w:color="3CB4E7" w:sz="2" w:space="0"/>
              <w:right w:val="nil"/>
            </w:tcBorders>
            <w:shd w:val="clear" w:color="auto" w:fill="B7DBF4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评价标准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264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优（100 ～ 81分）</w:t>
            </w:r>
          </w:p>
        </w:tc>
        <w:tc>
          <w:tcPr>
            <w:tcW w:w="568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70" w:lineRule="auto"/>
              <w:ind w:right="201"/>
              <w:jc w:val="both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动作正确，协调、连贯、实效；技术运用合理、运用效果好；战术意识强、实战效果较好。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良 ( 80 ～61分 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70" w:lineRule="auto"/>
              <w:ind w:right="201"/>
              <w:jc w:val="both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动作正确，协调；技术运用较合理、运用效果较好；战术意识较强、实战效果较好。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中 ( 60 ～ 41 分 )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70" w:lineRule="auto"/>
              <w:ind w:right="201"/>
              <w:jc w:val="both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动作基本正确，协调；技术运用基本合理、运用效果一般；战术意识一般、效果一般。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26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</w:rPr>
              <w:t>差 ( 40 分以下 )</w:t>
            </w:r>
          </w:p>
        </w:tc>
        <w:tc>
          <w:tcPr>
            <w:tcW w:w="568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12"/>
              <w:widowControl/>
              <w:snapToGrid/>
              <w:spacing w:before="0" w:beforeAutospacing="0" w:after="0" w:afterAutospacing="0" w:line="270" w:lineRule="auto"/>
              <w:ind w:right="201"/>
              <w:jc w:val="both"/>
              <w:textAlignment w:val="baseline"/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方正宋三简体" w:hAnsi="方正宋三简体" w:eastAsia="方正宋三简体"/>
                <w:b w:val="0"/>
                <w:i w:val="0"/>
                <w:caps w:val="0"/>
                <w:color w:val="231F20"/>
                <w:spacing w:val="0"/>
                <w:w w:val="100"/>
                <w:sz w:val="18"/>
                <w:szCs w:val="18"/>
                <w:lang w:eastAsia="zh-CN"/>
              </w:rPr>
              <w:t>动作不正确，不协调；技术动作不合理、运用效果差；战术意识差、效果较差。</w:t>
            </w:r>
          </w:p>
        </w:tc>
      </w:tr>
    </w:tbl>
    <w:p>
      <w:pPr>
        <w:snapToGrid/>
        <w:spacing w:before="0" w:beforeAutospacing="0" w:after="0" w:afterAutospacing="0" w:line="240" w:lineRule="auto"/>
        <w:textAlignment w:val="baseline"/>
        <w:rPr>
          <w:rStyle w:val="6"/>
          <w:rFonts w:ascii="宋体" w:hAnsi="宋体"/>
          <w:b w:val="0"/>
          <w:i w:val="0"/>
          <w:caps w:val="0"/>
          <w:color w:val="231F20"/>
          <w:spacing w:val="0"/>
          <w:w w:val="100"/>
          <w:sz w:val="21"/>
          <w:szCs w:val="21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textAlignment w:val="baseline"/>
      <w:rPr>
        <w:rStyle w:val="6"/>
        <w:rFonts w:ascii="Calibri" w:hAnsi="Calibri"/>
        <w:sz w:val="18"/>
        <w:szCs w:val="18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textAlignment w:val="baseline"/>
      <w:rPr>
        <w:rStyle w:val="6"/>
        <w:rFonts w:ascii="Calibri" w:hAnsi="Calibri"/>
        <w:sz w:val="18"/>
        <w:szCs w:val="18"/>
        <w:lang w:val="en-US" w:eastAsia="en-US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textAlignment w:val="baseline"/>
      <w:rPr>
        <w:rStyle w:val="6"/>
        <w:rFonts w:ascii="Calibri" w:hAnsi="Calibri"/>
        <w:sz w:val="18"/>
        <w:szCs w:val="18"/>
        <w:lang w:val="en-US" w:eastAsia="en-US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sz w:val="18"/>
        <w:szCs w:val="18"/>
        <w:lang w:val="en-US" w:eastAsia="en-US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rFonts w:ascii="Calibri" w:hAnsi="Calibri"/>
        <w:sz w:val="18"/>
        <w:szCs w:val="18"/>
        <w:lang w:val="en-US" w:eastAsia="en-US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rFonts w:ascii="Calibri" w:hAnsi="Calibri"/>
        <w:sz w:val="18"/>
        <w:szCs w:val="18"/>
        <w:lang w:val="en-US"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E1AE1A"/>
    <w:multiLevelType w:val="singleLevel"/>
    <w:tmpl w:val="DDE1AE1A"/>
    <w:lvl w:ilvl="0" w:tentative="0">
      <w:start w:val="2"/>
      <w:numFmt w:val="decimal"/>
      <w:suff w:val="space"/>
      <w:lvlText w:val="%1."/>
      <w:lvlJc w:val="left"/>
      <w:pPr>
        <w:widowControl/>
        <w:textAlignment w:val="baseline"/>
      </w:pPr>
      <w:rPr>
        <w:rStyle w:val="6"/>
      </w:rPr>
    </w:lvl>
  </w:abstractNum>
  <w:abstractNum w:abstractNumId="1">
    <w:nsid w:val="1AF9B3B9"/>
    <w:multiLevelType w:val="singleLevel"/>
    <w:tmpl w:val="1AF9B3B9"/>
    <w:lvl w:ilvl="0" w:tentative="0">
      <w:start w:val="2"/>
      <w:numFmt w:val="chineseCounting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E7771D7"/>
    <w:rsid w:val="1F2D7B6A"/>
    <w:rsid w:val="2129610F"/>
    <w:rsid w:val="288239D1"/>
    <w:rsid w:val="2CC87232"/>
    <w:rsid w:val="321207BB"/>
    <w:rsid w:val="37F7266B"/>
    <w:rsid w:val="3B516536"/>
    <w:rsid w:val="56845A41"/>
    <w:rsid w:val="6BF140AF"/>
    <w:rsid w:val="7EB72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textAlignment w:val="baseline"/>
    </w:pPr>
    <w:rPr>
      <w:rFonts w:ascii="Calibri" w:hAnsi="Calibri" w:eastAsia="宋体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textAlignment w:val="baseline"/>
    </w:pPr>
    <w:rPr>
      <w:rFonts w:ascii="Calibri" w:hAnsi="Calibri"/>
      <w:sz w:val="18"/>
      <w:szCs w:val="18"/>
      <w:lang w:val="en-US" w:eastAsia="en-US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sz w:val="18"/>
      <w:szCs w:val="18"/>
      <w:lang w:val="en-US" w:eastAsia="en-US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9"/>
    <w:locked/>
    <w:uiPriority w:val="0"/>
    <w:rPr>
      <w:rFonts w:ascii="方正宋一简体" w:hAnsi="方正宋一简体" w:eastAsia="方正宋一简体"/>
      <w:lang w:val="en-US" w:eastAsia="en-US" w:bidi="ar-SA"/>
    </w:rPr>
  </w:style>
  <w:style w:type="paragraph" w:customStyle="1" w:styleId="9">
    <w:name w:val="BodyText"/>
    <w:basedOn w:val="1"/>
    <w:link w:val="8"/>
    <w:uiPriority w:val="0"/>
    <w:pPr>
      <w:spacing w:before="72"/>
      <w:ind w:left="507"/>
      <w:textAlignment w:val="baseline"/>
    </w:pPr>
    <w:rPr>
      <w:rFonts w:ascii="方正宋一简体" w:hAnsi="方正宋一简体" w:eastAsia="方正宋一简体"/>
      <w:sz w:val="20"/>
      <w:szCs w:val="20"/>
      <w:lang w:val="en-US" w:eastAsia="en-US" w:bidi="ar-SA"/>
    </w:rPr>
  </w:style>
  <w:style w:type="paragraph" w:customStyle="1" w:styleId="10">
    <w:name w:val="UserStyle_1"/>
    <w:basedOn w:val="1"/>
    <w:uiPriority w:val="0"/>
    <w:pPr>
      <w:ind w:left="444"/>
      <w:textAlignment w:val="baseline"/>
    </w:pPr>
    <w:rPr>
      <w:rFonts w:ascii="Arial Unicode MS" w:hAnsi="Arial Unicode MS" w:eastAsia="Times New Roman"/>
      <w:sz w:val="22"/>
      <w:szCs w:val="22"/>
      <w:lang w:val="en-US" w:eastAsia="en-US" w:bidi="ar-SA"/>
    </w:rPr>
  </w:style>
  <w:style w:type="paragraph" w:customStyle="1" w:styleId="11">
    <w:name w:val="UserStyle_2"/>
    <w:basedOn w:val="1"/>
    <w:uiPriority w:val="0"/>
    <w:pPr>
      <w:ind w:left="500"/>
      <w:textAlignment w:val="baseline"/>
    </w:pPr>
    <w:rPr>
      <w:rFonts w:ascii="Arial Unicode MS" w:hAnsi="Arial Unicode MS" w:eastAsia="Times New Roman"/>
      <w:sz w:val="28"/>
      <w:szCs w:val="28"/>
      <w:lang w:val="en-US" w:eastAsia="en-US" w:bidi="ar-SA"/>
    </w:rPr>
  </w:style>
  <w:style w:type="paragraph" w:customStyle="1" w:styleId="12">
    <w:name w:val="UserStyle_3"/>
    <w:basedOn w:val="1"/>
    <w:uiPriority w:val="0"/>
    <w:pPr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2021-03-12T09:57:00Z</dcterms:created>
  <dc:creator>HP</dc:creator>
  <cp:lastModifiedBy>谢明正</cp:lastModifiedBy>
  <dcterms:modified xsi:type="dcterms:W3CDTF">2022-02-25T00:59:57Z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6F9457FDD22442B19EF727FD642826CB</vt:lpwstr>
  </property>
</Properties>
</file>