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PMingLiU" w:hAnsi="PMingLiU" w:eastAsia="PMingLiU" w:cs="PMingLiU"/>
          <w:sz w:val="20"/>
          <w:szCs w:val="20"/>
          <w:lang w:eastAsia="zh-CN"/>
        </w:rPr>
      </w:pPr>
      <w:r>
        <w:rPr>
          <w:rFonts w:hint="eastAsia" w:ascii="黑体" w:hAnsi="宋体" w:eastAsia="黑体"/>
          <w:kern w:val="0"/>
          <w:sz w:val="36"/>
          <w:szCs w:val="36"/>
          <w:lang w:val="zh-CN"/>
        </w:rPr>
        <w:t>20</w:t>
      </w:r>
      <w:r>
        <w:rPr>
          <w:rFonts w:hint="eastAsia" w:ascii="黑体" w:hAnsi="宋体" w:eastAsia="黑体"/>
          <w:kern w:val="0"/>
          <w:sz w:val="36"/>
          <w:szCs w:val="36"/>
          <w:lang w:val="en-US" w:eastAsia="zh-CN"/>
        </w:rPr>
        <w:t>22</w:t>
      </w:r>
      <w:r>
        <w:rPr>
          <w:rFonts w:hint="eastAsia" w:ascii="黑体" w:hAnsi="宋体" w:eastAsia="黑体"/>
          <w:kern w:val="0"/>
          <w:sz w:val="36"/>
          <w:szCs w:val="36"/>
          <w:lang w:val="zh-CN"/>
        </w:rPr>
        <w:t>年专升本</w:t>
      </w:r>
      <w:r>
        <w:rPr>
          <w:rFonts w:hint="eastAsia" w:ascii="黑体" w:hAnsi="宋体" w:eastAsia="黑体"/>
          <w:kern w:val="0"/>
          <w:sz w:val="36"/>
          <w:szCs w:val="36"/>
          <w:lang w:val="en-US" w:eastAsia="zh-CN"/>
        </w:rPr>
        <w:t>足球</w:t>
      </w:r>
      <w:r>
        <w:rPr>
          <w:rFonts w:hint="eastAsia" w:ascii="黑体" w:hAnsi="宋体" w:eastAsia="黑体"/>
          <w:kern w:val="0"/>
          <w:sz w:val="36"/>
          <w:szCs w:val="36"/>
          <w:lang w:val="zh-CN"/>
        </w:rPr>
        <w:t>测试细则及评分标准</w:t>
      </w:r>
    </w:p>
    <w:p>
      <w:pPr>
        <w:spacing w:before="2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11"/>
        <w:spacing w:line="395" w:lineRule="exact"/>
        <w:ind w:left="0" w:leftChars="0" w:firstLine="0" w:firstLineChars="0"/>
        <w:rPr>
          <w:lang w:eastAsia="zh-CN"/>
        </w:rPr>
      </w:pPr>
      <w:r>
        <w:rPr>
          <w:color w:val="3CB4E7"/>
          <w:lang w:eastAsia="zh-CN"/>
        </w:rPr>
        <w:t>一、考核指标与所占分值</w:t>
      </w:r>
      <w:r>
        <w:rPr>
          <w:rFonts w:hint="eastAsia" w:eastAsia="宋体"/>
          <w:color w:val="3CB4E7"/>
          <w:lang w:eastAsia="zh-CN"/>
        </w:rPr>
        <w:t>(总分</w:t>
      </w:r>
      <w:r>
        <w:rPr>
          <w:rFonts w:hint="eastAsia" w:eastAsia="宋体"/>
          <w:color w:val="3CB4E7"/>
          <w:lang w:val="en-US" w:eastAsia="zh-CN"/>
        </w:rPr>
        <w:t>30</w:t>
      </w:r>
      <w:r>
        <w:rPr>
          <w:rFonts w:hint="eastAsia" w:eastAsia="宋体"/>
          <w:color w:val="3CB4E7"/>
          <w:lang w:eastAsia="zh-CN"/>
        </w:rPr>
        <w:t>0分)</w:t>
      </w:r>
      <w:bookmarkStart w:id="1" w:name="_GoBack"/>
      <w:bookmarkEnd w:id="1"/>
    </w:p>
    <w:p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9"/>
        <w:tblW w:w="8334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2184"/>
        <w:gridCol w:w="1077"/>
        <w:gridCol w:w="1306"/>
        <w:gridCol w:w="20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74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2184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</w:tcPr>
          <w:p>
            <w:pPr>
              <w:pStyle w:val="12"/>
              <w:spacing w:before="30"/>
              <w:ind w:left="690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2383" w:type="dxa"/>
            <w:gridSpan w:val="2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left="735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专项技术</w:t>
            </w:r>
          </w:p>
        </w:tc>
        <w:tc>
          <w:tcPr>
            <w:tcW w:w="202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left="554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7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line="255" w:lineRule="exact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>
            <w:pPr>
              <w:pStyle w:val="12"/>
              <w:spacing w:before="34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2184" w:type="dxa"/>
            <w:tcBorders>
              <w:top w:val="single" w:color="3CB4E7" w:sz="4" w:space="0"/>
              <w:left w:val="nil"/>
              <w:bottom w:val="nil"/>
              <w:right w:val="dashed" w:color="3CB4E7" w:sz="4" w:space="0"/>
            </w:tcBorders>
            <w:shd w:val="clear" w:color="auto" w:fill="D9EBF9"/>
          </w:tcPr>
          <w:p>
            <w:pPr>
              <w:pStyle w:val="12"/>
              <w:spacing w:line="255" w:lineRule="exact"/>
              <w:ind w:right="8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5×25 米</w:t>
            </w:r>
          </w:p>
          <w:p>
            <w:pPr>
              <w:pStyle w:val="12"/>
              <w:spacing w:before="34"/>
              <w:ind w:right="8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折返跑</w:t>
            </w:r>
          </w:p>
        </w:tc>
        <w:tc>
          <w:tcPr>
            <w:tcW w:w="1077" w:type="dxa"/>
            <w:tcBorders>
              <w:top w:val="single" w:color="3CB4E7" w:sz="4" w:space="0"/>
              <w:left w:val="dashed" w:color="3CB4E7" w:sz="4" w:space="0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before="138"/>
              <w:ind w:left="348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传准</w:t>
            </w:r>
          </w:p>
        </w:tc>
        <w:tc>
          <w:tcPr>
            <w:tcW w:w="130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before="138"/>
              <w:ind w:left="368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运射</w:t>
            </w:r>
          </w:p>
        </w:tc>
        <w:tc>
          <w:tcPr>
            <w:tcW w:w="202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before="138"/>
              <w:ind w:right="188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74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3CB4E7" w:sz="12" w:space="0"/>
              <w:right w:val="dashed" w:color="3CB4E7" w:sz="4" w:space="0"/>
            </w:tcBorders>
            <w:shd w:val="clear" w:color="auto" w:fill="D9EBF9"/>
          </w:tcPr>
          <w:p>
            <w:pPr>
              <w:pStyle w:val="12"/>
              <w:spacing w:before="2"/>
              <w:ind w:right="8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 分</w:t>
            </w:r>
          </w:p>
        </w:tc>
        <w:tc>
          <w:tcPr>
            <w:tcW w:w="1077" w:type="dxa"/>
            <w:tcBorders>
              <w:top w:val="nil"/>
              <w:left w:val="dashed" w:color="3CB4E7" w:sz="4" w:space="0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325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sz w:val="18"/>
                <w:szCs w:val="18"/>
              </w:rPr>
              <w:t>分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345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sz w:val="18"/>
                <w:szCs w:val="18"/>
              </w:rPr>
              <w:t xml:space="preserve"> 分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right="188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sz w:val="18"/>
                <w:szCs w:val="18"/>
                <w:lang w:val="en-US" w:eastAsia="zh-CN"/>
              </w:rPr>
              <w:t xml:space="preserve"> 120</w:t>
            </w:r>
            <w:r>
              <w:rPr>
                <w:rFonts w:ascii="方正宋三简体" w:hAnsi="方正宋三简体" w:eastAsia="方正宋三简体" w:cs="方正宋三简体"/>
                <w:sz w:val="18"/>
                <w:szCs w:val="18"/>
              </w:rPr>
              <w:t xml:space="preserve"> 分</w:t>
            </w:r>
          </w:p>
        </w:tc>
      </w:tr>
    </w:tbl>
    <w:p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>
      <w:pPr>
        <w:numPr>
          <w:ilvl w:val="0"/>
          <w:numId w:val="0"/>
        </w:num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  <w:r>
        <w:rPr>
          <w:rFonts w:hint="eastAsia" w:ascii="Arial Unicode MS" w:hAnsi="Arial Unicode MS" w:eastAsia="Arial Unicode MS" w:cs="Arial Unicode MS"/>
          <w:color w:val="3CB4E7"/>
          <w:sz w:val="28"/>
          <w:szCs w:val="28"/>
          <w:lang w:val="en-US" w:eastAsia="zh-CN"/>
        </w:rPr>
        <w:t>二、</w:t>
      </w: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考试方法与评分标准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（一）专项素质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0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5×25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米折返跑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考试方法：考生从起跑线向场内垂直方向快跑，在跑动中依次用手击倒位于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米、10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米、15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米、20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米和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25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米各处的标志物后返回起跑线，要求每击倒一个标志物须立即返回一次，再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跑到下一个标志物，以此类推。考生应以站立式起跑，脚动开表，完成所有折返距离回到起跑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线时停表，记录完成的时间。未击倒标志物，成绩无效。每人测试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评分标准：见表1。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3"/>
        <w:spacing w:before="145"/>
        <w:ind w:left="84" w:right="188"/>
        <w:jc w:val="center"/>
        <w:rPr>
          <w:rFonts w:ascii="方正宋三简体" w:hAnsi="方正宋三简体" w:eastAsia="方正宋三简体" w:cs="方正宋三简体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表 1  5×25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米折返跑评分表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</w:rPr>
      </w:pPr>
    </w:p>
    <w:tbl>
      <w:tblPr>
        <w:tblStyle w:val="9"/>
        <w:tblW w:w="83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538"/>
        <w:gridCol w:w="1539"/>
        <w:gridCol w:w="865"/>
        <w:gridCol w:w="1725"/>
        <w:gridCol w:w="17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8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077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  <w:tc>
          <w:tcPr>
            <w:tcW w:w="865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509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8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53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865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7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8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32.00</w:t>
            </w:r>
          </w:p>
        </w:tc>
        <w:tc>
          <w:tcPr>
            <w:tcW w:w="153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34.00</w:t>
            </w:r>
          </w:p>
        </w:tc>
        <w:tc>
          <w:tcPr>
            <w:tcW w:w="8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</w:t>
            </w:r>
          </w:p>
        </w:tc>
        <w:tc>
          <w:tcPr>
            <w:tcW w:w="172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34.71 ～ 35.00</w:t>
            </w:r>
          </w:p>
        </w:tc>
        <w:tc>
          <w:tcPr>
            <w:tcW w:w="17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36.71 ～ 37.00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32.01 ～ 32.30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34.01 ～ 34.30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35.01 ～ 35.30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37.01 ～ 37.30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32.31 ～ 32.60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34.31 ～ 34.60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35.31 ～ 35.60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37.31 ～ 37.60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32.61 ～ 32.90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34.61 ～ 34.90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35.61 ～ 36.90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37.61 ～ 37.90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32.91 ～ 33.20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34.91 ～ 35.20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36.91 ～ 37.20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37.91 ～ 38.20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33.21 ～ 33.50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35.21 ～ 35.50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37.21 ～ 37.50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38.21 ～ 38.50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33.51 ～ 33.80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35.51 ～ 35.80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37.51 ～ 37.80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38.51 ～ 38.80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33.81 ～ 34.10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35.81 ～ 36.10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37.81 ～ 38.10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38.81 ～ 39.10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34.11 ～ 34.40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36.11 ～ 36.40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38.11 ～ 38.40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39.11 ～ 39.40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34.41 ～ 34.70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36.41 ～ 36.70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 以上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 以上</w:t>
            </w:r>
          </w:p>
        </w:tc>
      </w:tr>
    </w:tbl>
    <w:p>
      <w:pPr>
        <w:rPr>
          <w:rFonts w:ascii="方正宋三简体" w:hAnsi="方正宋三简体" w:eastAsia="方正宋三简体" w:cs="方正宋三简体"/>
          <w:sz w:val="20"/>
          <w:szCs w:val="20"/>
        </w:rPr>
      </w:pPr>
    </w:p>
    <w:p>
      <w:pPr>
        <w:rPr>
          <w:rFonts w:ascii="方正宋三简体" w:hAnsi="方正宋三简体" w:eastAsia="方正宋三简体" w:cs="方正宋三简体"/>
          <w:sz w:val="21"/>
          <w:szCs w:val="21"/>
        </w:rPr>
      </w:pPr>
      <w:r>
        <w:rPr>
          <w:rFonts w:ascii="方正宋三简体" w:hAnsi="方正宋三简体" w:eastAsia="方正宋三简体" w:cs="方正宋三简体"/>
          <w:sz w:val="20"/>
          <w:szCs w:val="20"/>
        </w:rPr>
        <w:br w:type="page"/>
      </w:r>
    </w:p>
    <w:p>
      <w:pPr>
        <w:pStyle w:val="13"/>
        <w:spacing w:line="332" w:lineRule="exact"/>
        <w:ind w:left="507" w:hanging="5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sz w:val="24"/>
          <w:szCs w:val="24"/>
        </w:rPr>
        <w:t>（二）专项技术</w:t>
      </w:r>
    </w:p>
    <w:p>
      <w:pPr>
        <w:pStyle w:val="3"/>
        <w:spacing w:before="41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1．传准</w:t>
      </w:r>
    </w:p>
    <w:p>
      <w:pPr>
        <w:pStyle w:val="3"/>
        <w:spacing w:before="65" w:line="300" w:lineRule="auto"/>
        <w:ind w:left="0" w:leftChars="0" w:right="82" w:firstLine="404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4"/>
          <w:sz w:val="21"/>
          <w:szCs w:val="21"/>
          <w:lang w:eastAsia="zh-CN"/>
        </w:rPr>
        <w:t>（1）考试方法：如图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-1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所示，传球目标区域由一个室内五人制足球门（球门净宽度</w:t>
      </w:r>
      <w:r>
        <w:rPr>
          <w:rFonts w:hint="eastAsia" w:ascii="宋体" w:hAnsi="宋体" w:eastAsia="宋体" w:cs="宋体"/>
          <w:color w:val="231F20"/>
          <w:spacing w:val="-1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1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米，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净高度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米）和以球门线为直径（3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米）画的半圆组成，圆心（球门线中心点）至起点线垂直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距离为男子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28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米，女子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23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米。考生须将球置于起点线上或线后（线长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米，宽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0.1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米），向目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标区域连续传球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次，左右脚均可，脚法不限。</w:t>
      </w:r>
    </w:p>
    <w:p>
      <w:pPr>
        <w:spacing w:before="1"/>
        <w:rPr>
          <w:rFonts w:ascii="方正宋一简体" w:hAnsi="方正宋一简体" w:eastAsia="方正宋一简体" w:cs="方正宋一简体"/>
          <w:sz w:val="9"/>
          <w:szCs w:val="9"/>
          <w:lang w:eastAsia="zh-CN"/>
        </w:rPr>
      </w:pPr>
    </w:p>
    <w:p>
      <w:pPr>
        <w:spacing w:line="200" w:lineRule="atLeast"/>
        <w:ind w:left="1556"/>
        <w:rPr>
          <w:rFonts w:ascii="方正宋一简体" w:hAnsi="方正宋一简体" w:eastAsia="方正宋一简体" w:cs="方正宋一简体"/>
          <w:sz w:val="20"/>
          <w:szCs w:val="20"/>
        </w:rPr>
      </w:pPr>
      <w:r>
        <w:rPr>
          <w:rFonts w:ascii="方正宋一简体" w:hAnsi="方正宋一简体" w:eastAsia="方正宋一简体" w:cs="方正宋一简体"/>
          <w:sz w:val="20"/>
          <w:szCs w:val="20"/>
          <w:lang w:eastAsia="zh-CN"/>
        </w:rPr>
        <w:drawing>
          <wp:inline distT="0" distB="0" distL="0" distR="0">
            <wp:extent cx="3289300" cy="145986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9605" cy="1460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6"/>
        <w:ind w:left="84" w:right="251"/>
        <w:jc w:val="center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图 1  传准场地示意图</w:t>
      </w:r>
    </w:p>
    <w:p>
      <w:pPr>
        <w:pStyle w:val="3"/>
        <w:spacing w:before="90" w:line="300" w:lineRule="auto"/>
        <w:ind w:left="110" w:right="82" w:firstLine="396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（2）评分标准：以球从起点线踢出后，从空中落到地面的第一接触点为准。考生每次将球传入目标区域的半圆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内（含第一落点落在圆周线上），或五人制球门（含球击中门横梁或立柱弹出）即得12分。每人须完成5次传准，满分60分。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2．运射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firstLine="428" w:firstLineChars="200"/>
        <w:jc w:val="left"/>
        <w:textAlignment w:val="auto"/>
        <w:outlineLvl w:val="9"/>
        <w:rPr>
          <w:rFonts w:ascii="方正宋一简体" w:hAnsi="方正宋一简体" w:eastAsia="方正宋一简体" w:cs="方正宋一简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（1）考试方法：如图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所示，从罚球区线中点垂直向场内延伸至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20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米处，画一条平行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于球门线的横线作为起点线。距罚球区线</w:t>
      </w:r>
      <w:r>
        <w:rPr>
          <w:rFonts w:hint="eastAsia" w:ascii="宋体" w:hAnsi="宋体" w:eastAsia="宋体" w:cs="宋体"/>
          <w:color w:val="231F20"/>
          <w:spacing w:val="-7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米处起，沿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20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米垂线共插置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8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根标志杆。考生将球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置于起点线上，运球依次绕过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8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根标志杆后起脚射门，球动开表，当球从空中或地面越过球门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线时停表，记录完成的时间。凡出现漏杆、射门偏出球门，球击中横梁或立柱弹出，均属无效，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不计成绩。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每人测试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2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次，取最好成绩。</w:t>
      </w:r>
    </w:p>
    <w:p>
      <w:pPr>
        <w:spacing w:before="1"/>
        <w:jc w:val="center"/>
        <w:rPr>
          <w:rFonts w:ascii="方正宋一简体" w:hAnsi="方正宋一简体" w:eastAsia="方正宋一简体" w:cs="方正宋一简体"/>
          <w:sz w:val="28"/>
          <w:szCs w:val="28"/>
        </w:rPr>
      </w:pPr>
      <w:r>
        <w:rPr>
          <w:rFonts w:ascii="方正宋一简体" w:hAnsi="方正宋一简体" w:eastAsia="方正宋一简体" w:cs="方正宋一简体"/>
          <w:sz w:val="20"/>
          <w:szCs w:val="20"/>
          <w:lang w:eastAsia="zh-CN"/>
        </w:rPr>
        <w:drawing>
          <wp:inline distT="0" distB="0" distL="0" distR="0">
            <wp:extent cx="3679190" cy="1997075"/>
            <wp:effectExtent l="0" t="0" r="16510" b="3175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9409" cy="1997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9"/>
        <w:ind w:right="188" w:firstLine="420" w:firstLineChars="200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图2  运球过杆射门示意图</w:t>
      </w:r>
    </w:p>
    <w:p>
      <w:pPr>
        <w:pStyle w:val="3"/>
        <w:spacing w:before="17"/>
        <w:ind w:left="5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（2）评分标准：见表2。</w:t>
      </w:r>
    </w:p>
    <w:p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color w:val="231F20"/>
          <w:sz w:val="21"/>
          <w:szCs w:val="21"/>
        </w:rPr>
      </w:pPr>
    </w:p>
    <w:p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color w:val="231F20"/>
          <w:sz w:val="21"/>
          <w:szCs w:val="21"/>
        </w:rPr>
      </w:pPr>
    </w:p>
    <w:p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color w:val="231F20"/>
          <w:sz w:val="21"/>
          <w:szCs w:val="21"/>
        </w:rPr>
      </w:pPr>
    </w:p>
    <w:p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表 2  运射评分表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</w:rPr>
      </w:pPr>
    </w:p>
    <w:tbl>
      <w:tblPr>
        <w:tblStyle w:val="9"/>
        <w:tblW w:w="8335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493"/>
        <w:gridCol w:w="1583"/>
        <w:gridCol w:w="865"/>
        <w:gridCol w:w="1753"/>
        <w:gridCol w:w="17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8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076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  <w:tc>
          <w:tcPr>
            <w:tcW w:w="865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510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8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583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865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75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8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49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5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8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75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.01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7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.01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.61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firstLine="90" w:firstLineChars="50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.81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.61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4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.01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58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86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.61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.81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</w:tr>
    </w:tbl>
    <w:p>
      <w:pPr>
        <w:spacing w:before="9"/>
        <w:rPr>
          <w:rFonts w:ascii="方正宋三简体" w:hAnsi="方正宋三简体" w:eastAsia="方正宋三简体" w:cs="方正宋三简体"/>
          <w:sz w:val="21"/>
          <w:szCs w:val="21"/>
        </w:rPr>
      </w:pPr>
    </w:p>
    <w:p>
      <w:pPr>
        <w:pStyle w:val="13"/>
        <w:spacing w:line="332" w:lineRule="exact"/>
        <w:ind w:left="500" w:hanging="5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sz w:val="24"/>
          <w:szCs w:val="24"/>
        </w:rPr>
        <w:t>（三）实战能力</w:t>
      </w:r>
    </w:p>
    <w:p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比赛</w:t>
      </w:r>
    </w:p>
    <w:p>
      <w:pPr>
        <w:pStyle w:val="3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考试方法：视考生人数分队进行比赛。</w:t>
      </w:r>
    </w:p>
    <w:p>
      <w:pPr>
        <w:pStyle w:val="3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12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</w:t>
      </w:r>
      <w:r>
        <w:rPr>
          <w:rFonts w:hint="eastAsia" w:ascii="宋体" w:hAnsi="宋体" w:eastAsia="宋体" w:cs="宋体"/>
          <w:color w:val="231F20"/>
          <w:spacing w:val="-13"/>
          <w:sz w:val="21"/>
          <w:szCs w:val="21"/>
          <w:lang w:eastAsia="zh-CN"/>
        </w:rPr>
        <w:t>准：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考评员参照实战能力评分细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则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（表3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），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独立对考生的技术能力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战术能力、心理素质以及比赛作风等方面进行综合评定。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此项，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满分为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120分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，分数至多可到小数点后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位。</w:t>
      </w:r>
    </w:p>
    <w:p>
      <w:pPr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3  足球实战能力评分细则</w:t>
      </w: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  <w:r>
        <w:rPr>
          <w:rFonts w:eastAsiaTheme="minorHAnsi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3810</wp:posOffset>
                </wp:positionV>
                <wp:extent cx="5521325" cy="2834640"/>
                <wp:effectExtent l="0" t="0" r="0" b="0"/>
                <wp:wrapNone/>
                <wp:docPr id="525" name="Text Box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1325" cy="283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9"/>
                              <w:tblpPr w:leftFromText="180" w:rightFromText="180" w:horzAnchor="margin" w:tblpXSpec="right" w:tblpY="-4429"/>
                              <w:tblOverlap w:val="never"/>
                              <w:tblW w:w="8324" w:type="dxa"/>
                              <w:jc w:val="right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614"/>
                              <w:gridCol w:w="5710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97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5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>等级（分值范围）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5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>评价标准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19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>优（1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 xml:space="preserve">0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 xml:space="preserve"> 分）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45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战术意识水平表现突出，攻守职责完成很好，具有很好的阅读比赛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pacing w:val="-3"/>
                                      <w:sz w:val="18"/>
                                      <w:szCs w:val="18"/>
                                      <w:lang w:eastAsia="zh-CN"/>
                                    </w:rPr>
                                    <w:t>能力；对抗情况下技术动作运用及完成合理、规范；比赛作风顽强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pacing w:val="33"/>
                                      <w:sz w:val="18"/>
                                      <w:szCs w:val="18"/>
                                      <w:lang w:eastAsia="zh-CN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心理状态稳定。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07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良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99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80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战术意识水平表现良好，攻守职责完成良好，具有良好的阅读比赛能力；对抗情况下技术动作运用较合理，完成动作较规范；比赛作风良好、心理状态稳定。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07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中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79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 )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战术意识水平表现一般，攻守职责完成一般，阅读比赛能力一般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；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对抗情况下技术动作运用基本合理，完成动作基本规范；比赛作风较好、心理状态有波动。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04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差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分以下 )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战术意识水平表现差，攻守职责不清楚，不具有基本阅读比赛的能力；对抗情况下技术动作运用不合理，完成动作不规范；比赛作风一般、心理状态不稳定。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4" o:spid="_x0000_s1026" o:spt="202" type="#_x0000_t202" style="position:absolute;left:0pt;margin-left:54pt;margin-top:0.3pt;height:223.2pt;width:434.75pt;mso-position-horizontal-relative:page;z-index:251663360;mso-width-relative:page;mso-height-relative:page;" filled="f" stroked="f" coordsize="21600,21600" o:gfxdata="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GR2FTXAAAACAEAAA8AAAAAAAAAAQAgAAAAIgAAAGRy&#10;cy9kb3ducmV2LnhtbFBLAQIUABQAAAAIAIdO4kATTM1TBgIAABcE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pPr w:leftFromText="180" w:rightFromText="180" w:horzAnchor="margin" w:tblpXSpec="right" w:tblpY="-4429"/>
                        <w:tblOverlap w:val="never"/>
                        <w:tblW w:w="8324" w:type="dxa"/>
                        <w:jc w:val="right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614"/>
                        <w:gridCol w:w="5710"/>
                      </w:tblGrid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97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>
                            <w:pPr>
                              <w:pStyle w:val="12"/>
                              <w:spacing w:before="35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>等级（分值范围）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>
                            <w:pPr>
                              <w:pStyle w:val="12"/>
                              <w:spacing w:before="35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>评价标准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19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>优（1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 xml:space="preserve">0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sz w:val="18"/>
                                <w:szCs w:val="18"/>
                                <w:lang w:val="en-US" w:eastAsia="zh-CN"/>
                              </w:rPr>
                              <w:t>100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 xml:space="preserve"> 分）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45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战术意识水平表现突出，攻守职责完成很好，具有很好的阅读比赛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pacing w:val="-3"/>
                                <w:sz w:val="18"/>
                                <w:szCs w:val="18"/>
                                <w:lang w:eastAsia="zh-CN"/>
                              </w:rPr>
                              <w:t>能力；对抗情况下技术动作运用及完成合理、规范；比赛作风顽强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pacing w:val="33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心理状态稳定。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07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良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99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80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战术意识水平表现良好，攻守职责完成良好，具有良好的阅读比赛能力；对抗情况下技术动作运用较合理，完成动作较规范；比赛作风良好、心理状态稳定。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07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中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79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60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 )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战术意识水平表现一般，攻守职责完成一般，阅读比赛能力一般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对抗情况下技术动作运用基本合理，完成动作基本规范；比赛作风较好、心理状态有波动。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04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差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60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分以下 )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战术意识水平表现差，攻守职责不清楚，不具有基本阅读比赛的能力；对抗情况下技术动作运用不合理，完成动作不规范；比赛作风一般、心理状态不稳定。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"/>
        <w:rPr>
          <w:rFonts w:ascii="方正宋三简体" w:hAnsi="方正宋三简体" w:eastAsia="方正宋三简体" w:cs="方正宋三简体"/>
          <w:sz w:val="13"/>
          <w:szCs w:val="13"/>
          <w:lang w:eastAsia="zh-CN"/>
        </w:rPr>
      </w:pPr>
    </w:p>
    <w:p>
      <w:pPr>
        <w:spacing w:before="19"/>
        <w:ind w:right="98"/>
        <w:jc w:val="right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</w:p>
    <w:p>
      <w:pPr>
        <w:rPr>
          <w:rFonts w:ascii="PMingLiU" w:hAnsi="PMingLiU" w:eastAsia="PMingLiU" w:cs="PMingLiU"/>
          <w:color w:val="231F20"/>
          <w:sz w:val="38"/>
          <w:szCs w:val="38"/>
          <w:lang w:eastAsia="zh-CN"/>
        </w:rPr>
      </w:pPr>
      <w:r>
        <w:rPr>
          <w:rFonts w:ascii="PMingLiU" w:hAnsi="PMingLiU" w:eastAsia="PMingLiU" w:cs="PMingLiU"/>
          <w:color w:val="231F20"/>
          <w:sz w:val="38"/>
          <w:szCs w:val="38"/>
          <w:lang w:eastAsia="zh-CN"/>
        </w:rPr>
        <w:br w:type="page"/>
      </w:r>
    </w:p>
    <w:p>
      <w:pPr>
        <w:pStyle w:val="2"/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</w:pPr>
      <w:bookmarkStart w:id="0" w:name="_Toc468194774"/>
      <w:r>
        <w:rPr>
          <w:rFonts w:hint="eastAsia" w:ascii="黑体" w:hAnsi="黑体" w:eastAsia="黑体" w:cs="黑体"/>
          <w:b w:val="0"/>
          <w:bCs w:val="0"/>
          <w:color w:val="231F20"/>
          <w:sz w:val="36"/>
          <w:szCs w:val="36"/>
          <w:lang w:eastAsia="zh-CN"/>
        </w:rPr>
        <w:t>守门员</w:t>
      </w:r>
      <w:bookmarkEnd w:id="0"/>
    </w:p>
    <w:p>
      <w:pPr>
        <w:pStyle w:val="11"/>
        <w:spacing w:line="395" w:lineRule="exact"/>
        <w:ind w:left="0" w:leftChars="0" w:firstLine="0" w:firstLineChars="0"/>
        <w:rPr>
          <w:lang w:eastAsia="zh-CN"/>
        </w:rPr>
      </w:pP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5054600</wp:posOffset>
                </wp:positionH>
                <wp:positionV relativeFrom="paragraph">
                  <wp:posOffset>715645</wp:posOffset>
                </wp:positionV>
                <wp:extent cx="1270" cy="252095"/>
                <wp:effectExtent l="0" t="0" r="0" b="0"/>
                <wp:wrapNone/>
                <wp:docPr id="23" name="Group 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252095"/>
                          <a:chOff x="7960" y="1127"/>
                          <a:chExt cx="2" cy="397203"/>
                        </a:xfrm>
                      </wpg:grpSpPr>
                      <wps:wsp>
                        <wps:cNvPr id="22" name="Freeform 453"/>
                        <wps:cNvSpPr/>
                        <wps:spPr>
                          <a:xfrm>
                            <a:off x="7960" y="1127"/>
                            <a:ext cx="2" cy="397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>
                              <a:cxn ang="0">
                                <a:pos x="0" y="1127"/>
                              </a:cxn>
                              <a:cxn ang="0">
                                <a:pos x="0" y="1524"/>
                              </a:cxn>
                            </a:cxnLst>
                            <a:pathLst>
                              <a:path w="1" h="397">
                                <a:moveTo>
                                  <a:pt x="0" y="0"/>
                                </a:moveTo>
                                <a:lnTo>
                                  <a:pt x="0" y="397"/>
                                </a:lnTo>
                              </a:path>
                            </a:pathLst>
                          </a:custGeom>
                          <a:noFill/>
                          <a:ln w="1283" cap="flat" cmpd="sng">
                            <a:solidFill>
                              <a:srgbClr val="B7DBF4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2" o:spid="_x0000_s1026" o:spt="203" style="position:absolute;left:0pt;margin-left:398pt;margin-top:56.35pt;height:19.85pt;width:0.1pt;mso-position-horizontal-relative:page;z-index:-251655168;mso-width-relative:page;mso-height-relative:page;" coordorigin="7960,1127" coordsize="2,397203" o:gfxdata="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IXSHBraAAAACwEAAA8A&#10;AAAAAAAAAQAgAAAAIgAAAGRycy9kb3ducmV2LnhtbFBLAQIUABQAAAAIAIdO4kDkf8j2wAIAAIUG&#10;AAAOAAAAAAAAAAEAIAAAACkBAABkcnMvZTJvRG9jLnhtbFBLBQYAAAAABgAGAFkBAABbBgAAAAA=&#10;">
                <o:lock v:ext="edit" aspectratio="f"/>
                <v:shape id="Freeform 453" o:spid="_x0000_s1026" o:spt="100" style="position:absolute;left:7960;top:1127;height:397;width:2;" filled="f" stroked="t" coordsize="1,397" o:gfxdata="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TE6QvQAA&#10;ANsAAAAPAAAAAAAAAAEAIAAAACIAAABkcnMvZG93bnJldi54bWxQSwECFAAUAAAACACHTuJAMy8F&#10;njsAAAA5AAAAEAAAAAAAAAABACAAAAAMAQAAZHJzL3NoYXBleG1sLnhtbFBLBQYAAAAABgAGAFsB&#10;AAC2AwAAAAA=&#10;" path="m0,0l0,397e">
                  <v:path o:connectlocs="0,1127;0,1524" o:connectangles="0,0"/>
                  <v:fill on="f" focussize="0,0"/>
                  <v:stroke weight="0.101023622047244pt" color="#B7DBF4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3CB4E7"/>
          <w:lang w:eastAsia="zh-CN"/>
        </w:rPr>
        <w:t>一、考核指标与所占分值</w:t>
      </w:r>
      <w:r>
        <w:rPr>
          <w:rFonts w:hint="eastAsia" w:eastAsia="宋体"/>
          <w:color w:val="3CB4E7"/>
          <w:lang w:eastAsia="zh-CN"/>
        </w:rPr>
        <w:t>(总分</w:t>
      </w:r>
      <w:r>
        <w:rPr>
          <w:rFonts w:hint="eastAsia" w:eastAsia="宋体"/>
          <w:color w:val="3CB4E7"/>
          <w:lang w:val="en-US" w:eastAsia="zh-CN"/>
        </w:rPr>
        <w:t>30</w:t>
      </w:r>
      <w:r>
        <w:rPr>
          <w:rFonts w:hint="eastAsia" w:eastAsia="宋体"/>
          <w:color w:val="3CB4E7"/>
          <w:lang w:eastAsia="zh-CN"/>
        </w:rPr>
        <w:t>0分)</w:t>
      </w:r>
    </w:p>
    <w:p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9"/>
        <w:tblW w:w="8319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776"/>
        <w:gridCol w:w="1619"/>
        <w:gridCol w:w="1619"/>
        <w:gridCol w:w="1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59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177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left="539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323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专项技术</w:t>
            </w:r>
          </w:p>
        </w:tc>
        <w:tc>
          <w:tcPr>
            <w:tcW w:w="170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left="516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line="255" w:lineRule="exact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>
            <w:pPr>
              <w:pStyle w:val="12"/>
              <w:spacing w:before="34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177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line="255" w:lineRule="exact"/>
              <w:ind w:left="22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立定</w:t>
            </w:r>
          </w:p>
          <w:p>
            <w:pPr>
              <w:pStyle w:val="12"/>
              <w:spacing w:before="34"/>
              <w:ind w:left="22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三级跳远</w:t>
            </w:r>
          </w:p>
        </w:tc>
        <w:tc>
          <w:tcPr>
            <w:tcW w:w="1619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</w:tcPr>
          <w:p>
            <w:pPr>
              <w:pStyle w:val="12"/>
              <w:spacing w:line="255" w:lineRule="exact"/>
              <w:ind w:righ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掷远与</w:t>
            </w:r>
          </w:p>
          <w:p>
            <w:pPr>
              <w:pStyle w:val="12"/>
              <w:spacing w:before="34"/>
              <w:ind w:righ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踢远</w:t>
            </w:r>
          </w:p>
        </w:tc>
        <w:tc>
          <w:tcPr>
            <w:tcW w:w="161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before="138"/>
              <w:ind w:left="560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扑接球</w:t>
            </w:r>
          </w:p>
        </w:tc>
        <w:tc>
          <w:tcPr>
            <w:tcW w:w="170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before="138"/>
              <w:ind w:left="45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9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22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</w:tcPr>
          <w:p>
            <w:pPr>
              <w:pStyle w:val="12"/>
              <w:spacing w:before="2"/>
              <w:ind w:righ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</w:t>
            </w:r>
          </w:p>
        </w:tc>
        <w:tc>
          <w:tcPr>
            <w:tcW w:w="161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45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</w:tr>
    </w:tbl>
    <w:p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>
      <w:pPr>
        <w:spacing w:line="395" w:lineRule="exact"/>
        <w:ind w:left="500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>
      <w:pPr>
        <w:spacing w:before="3"/>
        <w:rPr>
          <w:rFonts w:ascii="Arial Unicode MS" w:hAnsi="Arial Unicode MS" w:eastAsia="Arial Unicode MS" w:cs="Arial Unicode MS"/>
          <w:sz w:val="15"/>
          <w:szCs w:val="15"/>
          <w:lang w:eastAsia="zh-CN"/>
        </w:rPr>
      </w:pPr>
    </w:p>
    <w:p>
      <w:pPr>
        <w:pStyle w:val="13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（一）专项素质</w:t>
      </w:r>
    </w:p>
    <w:p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立定三级跳远</w:t>
      </w:r>
    </w:p>
    <w:p>
      <w:pPr>
        <w:pStyle w:val="3"/>
        <w:spacing w:before="65" w:line="300" w:lineRule="auto"/>
        <w:ind w:left="0" w:leftChars="0" w:right="102" w:firstLine="420" w:firstLineChars="20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考试方法：考生原地双脚站立在起跳线后，起跳时不能触及或超越起跳线。第一跳双脚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原地起跳，可以用任何一只脚落地；第二跳跨步跳，用着地脚起跳以另一只脚落地；第三跳双脚落地完成跳跃动作后，起身向前走出测试区。成绩测量时，从身体落地痕迹的最近点取直线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量至起跳线内沿。考生可穿钉鞋，其他未尽事宜参照田径竞赛规则执行。每人测试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次，取最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好成绩。</w:t>
      </w:r>
    </w:p>
    <w:p>
      <w:pPr>
        <w:pStyle w:val="3"/>
        <w:spacing w:before="17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评分标准：见表4。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3"/>
        <w:spacing w:before="145"/>
        <w:ind w:left="103" w:right="107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5230495</wp:posOffset>
                </wp:positionH>
                <wp:positionV relativeFrom="paragraph">
                  <wp:posOffset>594995</wp:posOffset>
                </wp:positionV>
                <wp:extent cx="1270" cy="295275"/>
                <wp:effectExtent l="0" t="0" r="0" b="0"/>
                <wp:wrapNone/>
                <wp:docPr id="25" name="Group 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295275"/>
                          <a:chOff x="8237" y="937"/>
                          <a:chExt cx="2" cy="465203"/>
                        </a:xfrm>
                      </wpg:grpSpPr>
                      <wps:wsp>
                        <wps:cNvPr id="24" name="Freeform 451"/>
                        <wps:cNvSpPr/>
                        <wps:spPr>
                          <a:xfrm>
                            <a:off x="8237" y="937"/>
                            <a:ext cx="2" cy="465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>
                              <a:cxn ang="0">
                                <a:pos x="0" y="937"/>
                              </a:cxn>
                              <a:cxn ang="0">
                                <a:pos x="0" y="1402"/>
                              </a:cxn>
                            </a:cxnLst>
                            <a:pathLst>
                              <a:path w="1" h="465">
                                <a:moveTo>
                                  <a:pt x="0" y="0"/>
                                </a:moveTo>
                                <a:lnTo>
                                  <a:pt x="0" y="465"/>
                                </a:lnTo>
                              </a:path>
                            </a:pathLst>
                          </a:custGeom>
                          <a:noFill/>
                          <a:ln w="1283" cap="flat" cmpd="sng">
                            <a:solidFill>
                              <a:srgbClr val="B7DBF4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0" o:spid="_x0000_s1026" o:spt="203" style="position:absolute;left:0pt;margin-left:411.85pt;margin-top:46.85pt;height:23.25pt;width:0.1pt;mso-position-horizontal-relative:page;z-index:-251654144;mso-width-relative:page;mso-height-relative:page;" coordorigin="8237,937" coordsize="2,465203" o:gfxdata="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DuvyRv2QAAAAoBAAAP&#10;AAAAAAAAAAEAIAAAACIAAABkcnMvZG93bnJldi54bWxQSwECFAAUAAAACACHTuJAWg8f5MICAACC&#10;BgAADgAAAAAAAAABACAAAAAoAQAAZHJzL2Uyb0RvYy54bWxQSwUGAAAAAAYABgBZAQAAXAYAAAAA&#10;">
                <o:lock v:ext="edit" aspectratio="f"/>
                <v:shape id="Freeform 451" o:spid="_x0000_s1026" o:spt="100" style="position:absolute;left:8237;top:937;height:465;width:2;" filled="f" stroked="t" coordsize="1,465" o:gfxdata="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7zem8AAAA&#10;2wAAAA8AAAAAAAAAAQAgAAAAIgAAAGRycy9kb3ducmV2LnhtbFBLAQIUABQAAAAIAIdO4kAzLwWe&#10;OwAAADkAAAAQAAAAAAAAAAEAIAAAAAsBAABkcnMvc2hhcGV4bWwueG1sUEsFBgAAAAAGAAYAWwEA&#10;ALUDAAAAAA==&#10;" path="m0,0l0,465e">
                  <v:path o:connectlocs="0,937;0,1402" o:connectangles="0,0"/>
                  <v:fill on="f" focussize="0,0"/>
                  <v:stroke weight="0.101023622047244pt" color="#B7DBF4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4  立定三级跳远评分表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9"/>
        <w:tblW w:w="83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86"/>
        <w:gridCol w:w="1387"/>
        <w:gridCol w:w="1227"/>
        <w:gridCol w:w="1466"/>
        <w:gridCol w:w="14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387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73" w:type="dxa"/>
            <w:gridSpan w:val="2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  <w:tc>
          <w:tcPr>
            <w:tcW w:w="1227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933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1387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3CB4E7" w:sz="4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1227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46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</w:t>
            </w:r>
          </w:p>
        </w:tc>
        <w:tc>
          <w:tcPr>
            <w:tcW w:w="1386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8.6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7.4</w:t>
            </w:r>
          </w:p>
        </w:tc>
        <w:tc>
          <w:tcPr>
            <w:tcW w:w="122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6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7.6</w:t>
            </w:r>
          </w:p>
        </w:tc>
        <w:tc>
          <w:tcPr>
            <w:tcW w:w="146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7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8.2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7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8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8.1</w:t>
            </w:r>
          </w:p>
        </w:tc>
        <w:tc>
          <w:tcPr>
            <w:tcW w:w="138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</w:t>
            </w:r>
          </w:p>
        </w:tc>
        <w:tc>
          <w:tcPr>
            <w:tcW w:w="122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6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</w:t>
            </w:r>
          </w:p>
        </w:tc>
        <w:tc>
          <w:tcPr>
            <w:tcW w:w="146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</w:t>
            </w:r>
          </w:p>
        </w:tc>
      </w:tr>
    </w:tbl>
    <w:tbl>
      <w:tblPr>
        <w:tblStyle w:val="9"/>
        <w:tblpPr w:leftFromText="180" w:rightFromText="180" w:vertAnchor="text" w:horzAnchor="margin" w:tblpY="1"/>
        <w:tblW w:w="83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87"/>
        <w:gridCol w:w="1420"/>
        <w:gridCol w:w="1353"/>
        <w:gridCol w:w="1399"/>
        <w:gridCol w:w="13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87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3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ind w:right="30"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1" w:firstLine="360" w:firstLineChars="200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387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3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ind w:right="30"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1" w:firstLine="360" w:firstLineChars="200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</w:t>
            </w:r>
          </w:p>
        </w:tc>
      </w:tr>
    </w:tbl>
    <w:p>
      <w:pPr>
        <w:pStyle w:val="13"/>
        <w:spacing w:line="332" w:lineRule="exact"/>
        <w:ind w:left="507" w:hanging="57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>
      <w:pPr>
        <w:pStyle w:val="13"/>
        <w:spacing w:line="332" w:lineRule="exact"/>
        <w:ind w:left="507" w:hanging="57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（二）专项技术</w:t>
      </w:r>
    </w:p>
    <w:p>
      <w:pPr>
        <w:pStyle w:val="3"/>
        <w:spacing w:before="41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1．掷远与踢远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firstLine="428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（1）考试方法：如图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所示，在球场适当位置画一条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15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米线段作为测试区横宽，从横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线两端分别向场内垂直画两条60米以上平行直线作为测试区纵长，标出距离数。考生站在起点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线后，先将球以手掷</w:t>
      </w:r>
      <w:r>
        <w:rPr>
          <w:rFonts w:hint="eastAsia" w:ascii="宋体" w:hAnsi="宋体" w:eastAsia="宋体" w:cs="宋体"/>
          <w:color w:val="231F20"/>
          <w:spacing w:val="-8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次（允许带手套进行），然后用脚踢远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次（采用踢凌空球、反弹球、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定位球等方法不限），各取其中最好一次成绩相加为最终成绩。每次掷、踢球的落点必须在测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试区横宽以内，否则不计成绩。</w:t>
      </w:r>
    </w:p>
    <w:p>
      <w:pPr>
        <w:spacing w:before="8"/>
        <w:jc w:val="center"/>
      </w:pPr>
      <w:r>
        <w:drawing>
          <wp:inline distT="0" distB="0" distL="114300" distR="114300">
            <wp:extent cx="3888105" cy="1617980"/>
            <wp:effectExtent l="0" t="0" r="17145" b="127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8105" cy="161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00" w:lineRule="atLeast"/>
        <w:ind w:left="1529" w:firstLine="1440" w:firstLineChars="800"/>
        <w:jc w:val="both"/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图 3  掷远与踢远场地示意图</w:t>
      </w:r>
    </w:p>
    <w:p>
      <w:pPr>
        <w:spacing w:line="200" w:lineRule="atLeast"/>
        <w:ind w:left="1529" w:firstLine="1440" w:firstLineChars="800"/>
        <w:jc w:val="both"/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</w:pPr>
    </w:p>
    <w:p>
      <w:pPr>
        <w:pStyle w:val="3"/>
        <w:spacing w:before="0"/>
        <w:ind w:left="0" w:leftChars="0" w:firstLine="400" w:firstLineChars="200"/>
        <w:rPr>
          <w:rFonts w:ascii="方正宋三简体" w:hAnsi="方正宋三简体" w:eastAsia="方正宋三简体" w:cs="方正宋三简体"/>
          <w:sz w:val="28"/>
          <w:szCs w:val="28"/>
          <w:lang w:eastAsia="zh-CN"/>
        </w:rPr>
      </w:pPr>
      <w:r>
        <w:rPr>
          <w:color w:val="231F20"/>
          <w:lang w:eastAsia="zh-CN"/>
        </w:rPr>
        <w:t>（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2）评分标准：见表5。</w:t>
      </w:r>
    </w:p>
    <w:p>
      <w:pPr>
        <w:pStyle w:val="3"/>
        <w:spacing w:before="10"/>
        <w:ind w:right="2887" w:firstLine="420" w:firstLineChars="200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5   掷远与踢远评分表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9"/>
        <w:tblW w:w="832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86"/>
        <w:gridCol w:w="1387"/>
        <w:gridCol w:w="1387"/>
        <w:gridCol w:w="1386"/>
        <w:gridCol w:w="13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1387" w:type="dxa"/>
            <w:vMerge w:val="restart"/>
            <w:tcBorders>
              <w:top w:val="single" w:color="3CB4E7" w:sz="12" w:space="0"/>
              <w:left w:val="nil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73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  <w:tc>
          <w:tcPr>
            <w:tcW w:w="1387" w:type="dxa"/>
            <w:vMerge w:val="restart"/>
            <w:tcBorders>
              <w:top w:val="single" w:color="3CB4E7" w:sz="12" w:space="0"/>
              <w:left w:val="nil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73" w:type="dxa"/>
            <w:gridSpan w:val="2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</w:trPr>
        <w:tc>
          <w:tcPr>
            <w:tcW w:w="1387" w:type="dxa"/>
            <w:vMerge w:val="continue"/>
            <w:tcBorders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1387" w:type="dxa"/>
            <w:vMerge w:val="continue"/>
            <w:tcBorders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3CB4E7" w:sz="4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38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80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86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</w:tr>
    </w:tbl>
    <w:p>
      <w:pPr>
        <w:pStyle w:val="3"/>
        <w:spacing w:before="0" w:line="267" w:lineRule="exact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2．扑接球</w:t>
      </w:r>
    </w:p>
    <w:p>
      <w:pPr>
        <w:pStyle w:val="3"/>
        <w:spacing w:before="65" w:line="284" w:lineRule="auto"/>
        <w:ind w:left="0" w:leftChars="0" w:firstLine="408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3"/>
          <w:sz w:val="21"/>
          <w:szCs w:val="21"/>
          <w:lang w:eastAsia="zh-CN"/>
        </w:rPr>
        <w:t>（1）考试方法：考生守门，扑接</w:t>
      </w:r>
      <w:r>
        <w:rPr>
          <w:rFonts w:hint="eastAsia" w:ascii="宋体" w:hAnsi="宋体" w:eastAsia="宋体" w:cs="宋体"/>
          <w:color w:val="231F20"/>
          <w:spacing w:val="-9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10</w:t>
      </w:r>
      <w:r>
        <w:rPr>
          <w:rFonts w:hint="eastAsia" w:ascii="宋体" w:hAnsi="宋体" w:eastAsia="宋体" w:cs="宋体"/>
          <w:color w:val="231F20"/>
          <w:spacing w:val="-9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个来自罚球区线外射中球门的有效射门球（含地滚球、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半高球、高球以及需要倒地扑救的球）。</w:t>
      </w:r>
    </w:p>
    <w:p>
      <w:pPr>
        <w:pStyle w:val="3"/>
        <w:spacing w:before="12" w:line="284" w:lineRule="auto"/>
        <w:ind w:left="0" w:leftChars="0" w:firstLine="424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（2）评分标准：考评员参照扑接球评分细则（表6），独立对考生进行技术技能评定。此项，满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分为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60分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，分数至多可到小数点后1位。</w:t>
      </w: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6  扑接球评分细则</w:t>
      </w: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spacing w:before="11"/>
        <w:rPr>
          <w:rFonts w:ascii="方正宋三简体" w:hAnsi="方正宋三简体" w:eastAsia="方正宋三简体" w:cs="方正宋三简体"/>
          <w:sz w:val="12"/>
          <w:szCs w:val="12"/>
          <w:lang w:eastAsia="zh-CN"/>
        </w:rPr>
      </w:pPr>
    </w:p>
    <w:p>
      <w:pPr>
        <w:spacing w:before="19"/>
        <w:ind w:right="175"/>
        <w:jc w:val="right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  <w:r>
        <w:rPr>
          <w:rFonts w:eastAsiaTheme="minorHAnsi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818515</wp:posOffset>
                </wp:positionH>
                <wp:positionV relativeFrom="paragraph">
                  <wp:posOffset>-278130</wp:posOffset>
                </wp:positionV>
                <wp:extent cx="5433060" cy="1882140"/>
                <wp:effectExtent l="0" t="0" r="0" b="0"/>
                <wp:wrapNone/>
                <wp:docPr id="501" name="Text Box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3060" cy="188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9"/>
                              <w:tblW w:w="8334" w:type="dxa"/>
                              <w:jc w:val="right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694"/>
                              <w:gridCol w:w="5640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97" w:hRule="exac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等级（分值范围）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评价标准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46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优（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46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分）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技术动作规范，动作运用合理，选位意识好，身体移动快速、协调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727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良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 )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56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技术动作规范，动作运用较合理，选位意识较好，身体移动快速、 协调。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1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中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29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 )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54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技术动作基本规范，动作运用较合理，选位意识尚可，身体移动较快、较协调。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1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差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分以下 )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144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技术动作不规范，动作运用不合理，选位意识较差，身体移动较慢 不协调。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0" o:spid="_x0000_s1026" o:spt="202" type="#_x0000_t202" style="position:absolute;left:0pt;margin-left:64.45pt;margin-top:-21.9pt;height:148.2pt;width:427.8pt;mso-position-horizontal-relative:page;z-index:251660288;mso-width-relative:page;mso-height-relative:page;" filled="f" stroked="f" coordsize="21600,21600" o:gfxdata="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+fJT9oAAAALAQAADwAAAAAAAAABACAAAAAiAAAA&#10;ZHJzL2Rvd25yZXYueG1sUEsBAhQAFAAAAAgAh07iQKelXBsFAgAAFwQ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W w:w="8334" w:type="dxa"/>
                        <w:jc w:val="right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694"/>
                        <w:gridCol w:w="5640"/>
                      </w:tblGrid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97" w:hRule="exac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等级（分值范围）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评价标准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46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优（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60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46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分）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技术动作规范，动作运用合理，选位意识好，身体移动快速、协调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727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良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45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30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 )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56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技术动作规范，动作运用较合理，选位意识较好，身体移动快速、 协调。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1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中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29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16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 )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54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技术动作基本规范，动作运用较合理，选位意识尚可，身体移动较快、较协调。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1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差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16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分以下 )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144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技术动作不规范，动作运用不合理，选位意识较差，身体移动较慢 不协调。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方正宋三简体" w:hAnsi="方正宋三简体" w:eastAsia="方正宋三简体" w:cs="方正宋三简体"/>
          <w:color w:val="231F20"/>
          <w:sz w:val="18"/>
          <w:szCs w:val="18"/>
          <w:lang w:eastAsia="zh-CN"/>
        </w:rPr>
        <w:t>。</w:t>
      </w: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spacing w:before="13"/>
        <w:rPr>
          <w:rFonts w:ascii="方正宋三简体" w:hAnsi="方正宋三简体" w:eastAsia="方正宋三简体" w:cs="方正宋三简体"/>
          <w:sz w:val="23"/>
          <w:szCs w:val="23"/>
          <w:lang w:eastAsia="zh-CN"/>
        </w:rPr>
      </w:pPr>
    </w:p>
    <w:p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（三）实战能力</w:t>
      </w:r>
    </w:p>
    <w:p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</w:t>
      </w:r>
    </w:p>
    <w:p>
      <w:pPr>
        <w:pStyle w:val="3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考试方法：视考生人数分队进行比赛。</w:t>
      </w:r>
    </w:p>
    <w:p>
      <w:pPr>
        <w:pStyle w:val="3"/>
        <w:spacing w:line="300" w:lineRule="auto"/>
        <w:ind w:left="0" w:leftChars="0" w:right="82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1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评分标准 </w:t>
      </w:r>
      <w:r>
        <w:rPr>
          <w:rFonts w:hint="eastAsia" w:ascii="宋体" w:hAnsi="宋体" w:eastAsia="宋体" w:cs="宋体"/>
          <w:color w:val="231F20"/>
          <w:spacing w:val="-2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考评员参照实战能力评分细</w:t>
      </w:r>
      <w:r>
        <w:rPr>
          <w:rFonts w:hint="eastAsia" w:ascii="宋体" w:hAnsi="宋体" w:eastAsia="宋体" w:cs="宋体"/>
          <w:color w:val="231F20"/>
          <w:spacing w:val="-40"/>
          <w:sz w:val="21"/>
          <w:szCs w:val="21"/>
          <w:lang w:eastAsia="zh-CN"/>
        </w:rPr>
        <w:t>则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（表7</w:t>
      </w:r>
      <w:r>
        <w:rPr>
          <w:rFonts w:hint="eastAsia" w:ascii="宋体" w:hAnsi="宋体" w:eastAsia="宋体" w:cs="宋体"/>
          <w:color w:val="231F20"/>
          <w:spacing w:val="-40"/>
          <w:sz w:val="21"/>
          <w:szCs w:val="21"/>
          <w:lang w:eastAsia="zh-CN"/>
        </w:rPr>
        <w:t>），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独立对考生的技术能力</w:t>
      </w:r>
      <w:r>
        <w:rPr>
          <w:rFonts w:hint="eastAsia" w:ascii="宋体" w:hAnsi="宋体" w:eastAsia="宋体" w:cs="宋体"/>
          <w:color w:val="231F20"/>
          <w:spacing w:val="-4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战术能力、心理素质以及比赛作风等方面行综合评定。此项，满分为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120分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，分数至多可到小数点后1位。</w:t>
      </w:r>
    </w:p>
    <w:p>
      <w:pPr>
        <w:pStyle w:val="3"/>
        <w:spacing w:line="300" w:lineRule="auto"/>
        <w:ind w:left="0" w:leftChars="0" w:right="82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0"/>
        <w:ind w:left="2814"/>
        <w:jc w:val="both"/>
        <w:rPr>
          <w:rFonts w:ascii="Tahoma" w:hAnsi="Tahoma" w:eastAsia="Tahoma" w:cs="Tahoma"/>
          <w:b/>
          <w:bCs/>
          <w:color w:val="3CB4E7"/>
          <w:spacing w:val="-14"/>
          <w:kern w:val="44"/>
          <w:position w:val="-5"/>
          <w:sz w:val="62"/>
          <w:szCs w:val="62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7   守门员实战能力评分细则</w:t>
      </w:r>
    </w:p>
    <w:tbl>
      <w:tblPr>
        <w:tblStyle w:val="9"/>
        <w:tblpPr w:leftFromText="180" w:rightFromText="180" w:vertAnchor="text" w:horzAnchor="page" w:tblpX="2091" w:tblpY="77"/>
        <w:tblOverlap w:val="never"/>
        <w:tblW w:w="83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1"/>
        <w:gridCol w:w="57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71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26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71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spacing w:line="270" w:lineRule="auto"/>
              <w:ind w:right="53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战术意识水平表现突出，攻守职责完成很好；对抗情况下技术动作运用及完成合理、规范；比赛作风顽强、心理状态稳定。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spacing w:line="270" w:lineRule="auto"/>
              <w:ind w:right="48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战术意识水平表现良好，攻守职责完成良好 ；对抗情况下技术动作运用较合理、完成动作较规范；比赛作风良好、心理状态稳定。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spacing w:line="270" w:lineRule="auto"/>
              <w:ind w:right="53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战术意识水平表现一般，攻守职责完成一般；对抗情况下技术动作运用基本合理、完成动作基本规范；比赛作风较好、心理状态有波动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分以下 )</w:t>
            </w:r>
          </w:p>
        </w:tc>
        <w:tc>
          <w:tcPr>
            <w:tcW w:w="571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spacing w:line="270" w:lineRule="auto"/>
              <w:ind w:right="53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战术意识水平表现差，攻守职责不清楚；对抗情况下技术动作运用不合理、完成动作不规范；比赛作风一般、心理状态不稳定。</w:t>
            </w:r>
          </w:p>
        </w:tc>
      </w:tr>
    </w:tbl>
    <w:p>
      <w:pPr>
        <w:pStyle w:val="3"/>
        <w:spacing w:before="17"/>
        <w:ind w:left="0" w:leftChars="0" w:firstLine="180" w:firstLineChars="100"/>
        <w:jc w:val="both"/>
        <w:rPr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注：参加足球守门员考试的考生须穿胶鞋或胶钉足球鞋。</w:t>
      </w:r>
    </w:p>
    <w:p>
      <w:pPr>
        <w:rPr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8FA"/>
    <w:rsid w:val="00274ED4"/>
    <w:rsid w:val="002D1250"/>
    <w:rsid w:val="00515F54"/>
    <w:rsid w:val="005628FA"/>
    <w:rsid w:val="00833D64"/>
    <w:rsid w:val="00BF2F6A"/>
    <w:rsid w:val="02AE0CA7"/>
    <w:rsid w:val="034618E8"/>
    <w:rsid w:val="04251A6B"/>
    <w:rsid w:val="06981BDB"/>
    <w:rsid w:val="06AD7A63"/>
    <w:rsid w:val="07A148E2"/>
    <w:rsid w:val="0838542F"/>
    <w:rsid w:val="09AF1614"/>
    <w:rsid w:val="09FA094F"/>
    <w:rsid w:val="0B074530"/>
    <w:rsid w:val="0BC85DBB"/>
    <w:rsid w:val="0D4A47EB"/>
    <w:rsid w:val="0ECD4770"/>
    <w:rsid w:val="0F7A11F9"/>
    <w:rsid w:val="10B15318"/>
    <w:rsid w:val="11741D9B"/>
    <w:rsid w:val="1175104C"/>
    <w:rsid w:val="1290088A"/>
    <w:rsid w:val="13A76A53"/>
    <w:rsid w:val="146B437A"/>
    <w:rsid w:val="147D5715"/>
    <w:rsid w:val="160349D1"/>
    <w:rsid w:val="17656B11"/>
    <w:rsid w:val="183218BE"/>
    <w:rsid w:val="18821AE5"/>
    <w:rsid w:val="19220C2A"/>
    <w:rsid w:val="19AE4056"/>
    <w:rsid w:val="1AB92213"/>
    <w:rsid w:val="1AEE6E85"/>
    <w:rsid w:val="1B5225E4"/>
    <w:rsid w:val="1B66115F"/>
    <w:rsid w:val="1CB277AD"/>
    <w:rsid w:val="1FBE7A37"/>
    <w:rsid w:val="213B331E"/>
    <w:rsid w:val="21C95BAF"/>
    <w:rsid w:val="228070E1"/>
    <w:rsid w:val="23C01FA6"/>
    <w:rsid w:val="24544908"/>
    <w:rsid w:val="24B078F9"/>
    <w:rsid w:val="261958FF"/>
    <w:rsid w:val="28975F4A"/>
    <w:rsid w:val="28B72EE4"/>
    <w:rsid w:val="2AD10D51"/>
    <w:rsid w:val="2BB63320"/>
    <w:rsid w:val="2C875837"/>
    <w:rsid w:val="2D5140E9"/>
    <w:rsid w:val="2F031BE9"/>
    <w:rsid w:val="2F3F131D"/>
    <w:rsid w:val="2F57311B"/>
    <w:rsid w:val="32DE2B11"/>
    <w:rsid w:val="32DF223A"/>
    <w:rsid w:val="33044879"/>
    <w:rsid w:val="341D3555"/>
    <w:rsid w:val="36117853"/>
    <w:rsid w:val="37D778B3"/>
    <w:rsid w:val="3B2036FB"/>
    <w:rsid w:val="3C986E7D"/>
    <w:rsid w:val="3F5A15B9"/>
    <w:rsid w:val="411C1FD3"/>
    <w:rsid w:val="41282A04"/>
    <w:rsid w:val="412F1803"/>
    <w:rsid w:val="423C5D17"/>
    <w:rsid w:val="460D4EF3"/>
    <w:rsid w:val="47AD15C8"/>
    <w:rsid w:val="480716E7"/>
    <w:rsid w:val="48524EB6"/>
    <w:rsid w:val="4965225D"/>
    <w:rsid w:val="49FC4370"/>
    <w:rsid w:val="4A256AA9"/>
    <w:rsid w:val="4AC36912"/>
    <w:rsid w:val="4C9B5CBD"/>
    <w:rsid w:val="4D8003B6"/>
    <w:rsid w:val="4E505AEC"/>
    <w:rsid w:val="4E5C465C"/>
    <w:rsid w:val="4F141A14"/>
    <w:rsid w:val="505B016E"/>
    <w:rsid w:val="50E72885"/>
    <w:rsid w:val="51C120FC"/>
    <w:rsid w:val="53D824AE"/>
    <w:rsid w:val="541762BE"/>
    <w:rsid w:val="5418327B"/>
    <w:rsid w:val="541D312A"/>
    <w:rsid w:val="554807C5"/>
    <w:rsid w:val="55F561E4"/>
    <w:rsid w:val="56322D94"/>
    <w:rsid w:val="56D57A24"/>
    <w:rsid w:val="580D3709"/>
    <w:rsid w:val="58167B19"/>
    <w:rsid w:val="5821100F"/>
    <w:rsid w:val="58580A63"/>
    <w:rsid w:val="594E2F50"/>
    <w:rsid w:val="5A513E01"/>
    <w:rsid w:val="5ADD4D21"/>
    <w:rsid w:val="5B0320AE"/>
    <w:rsid w:val="5C3267CE"/>
    <w:rsid w:val="5D9458F7"/>
    <w:rsid w:val="5DBD696D"/>
    <w:rsid w:val="5E522ECF"/>
    <w:rsid w:val="5E95311C"/>
    <w:rsid w:val="5FA16F84"/>
    <w:rsid w:val="5FA25F9D"/>
    <w:rsid w:val="61163402"/>
    <w:rsid w:val="62035366"/>
    <w:rsid w:val="644A0F79"/>
    <w:rsid w:val="64E02A4E"/>
    <w:rsid w:val="675725D0"/>
    <w:rsid w:val="67573E79"/>
    <w:rsid w:val="690748AE"/>
    <w:rsid w:val="6B412801"/>
    <w:rsid w:val="6B8F4452"/>
    <w:rsid w:val="6D4B1F09"/>
    <w:rsid w:val="6EDE5912"/>
    <w:rsid w:val="723E4255"/>
    <w:rsid w:val="73131021"/>
    <w:rsid w:val="74052A1B"/>
    <w:rsid w:val="74E22E6E"/>
    <w:rsid w:val="777F35A0"/>
    <w:rsid w:val="78070E68"/>
    <w:rsid w:val="78E23032"/>
    <w:rsid w:val="791D6449"/>
    <w:rsid w:val="793168E0"/>
    <w:rsid w:val="799D5E96"/>
    <w:rsid w:val="79B96C7F"/>
    <w:rsid w:val="7AB65EAE"/>
    <w:rsid w:val="7ABD5E60"/>
    <w:rsid w:val="7ACE2783"/>
    <w:rsid w:val="7C2A3899"/>
    <w:rsid w:val="7D7D1B60"/>
    <w:rsid w:val="7EC5223C"/>
    <w:rsid w:val="7F40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6"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  <w:color w:val="000000"/>
      <w:sz w:val="24"/>
    </w:rPr>
  </w:style>
  <w:style w:type="paragraph" w:styleId="8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paragraph" w:customStyle="1" w:styleId="11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12">
    <w:name w:val="Table Paragraph"/>
    <w:basedOn w:val="1"/>
    <w:qFormat/>
    <w:uiPriority w:val="1"/>
  </w:style>
  <w:style w:type="paragraph" w:customStyle="1" w:styleId="13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character" w:customStyle="1" w:styleId="14">
    <w:name w:val="批注框文本 Char"/>
    <w:basedOn w:val="10"/>
    <w:link w:val="4"/>
    <w:qFormat/>
    <w:uiPriority w:val="0"/>
    <w:rPr>
      <w:rFonts w:asciiTheme="minorHAnsi" w:hAnsiTheme="minorHAnsi" w:eastAsiaTheme="minorEastAsia" w:cstheme="minorBidi"/>
      <w:sz w:val="18"/>
      <w:szCs w:val="18"/>
      <w:lang w:eastAsia="en-US"/>
    </w:rPr>
  </w:style>
  <w:style w:type="character" w:customStyle="1" w:styleId="15">
    <w:name w:val="标题 1 Char"/>
    <w:basedOn w:val="10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  <w:lang w:eastAsia="en-US"/>
    </w:rPr>
  </w:style>
  <w:style w:type="character" w:customStyle="1" w:styleId="16">
    <w:name w:val="正文文本 Char"/>
    <w:basedOn w:val="10"/>
    <w:link w:val="3"/>
    <w:qFormat/>
    <w:uiPriority w:val="1"/>
    <w:rPr>
      <w:rFonts w:ascii="方正宋一简体" w:hAnsi="方正宋一简体" w:eastAsia="方正宋一简体" w:cstheme="minorBid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561</Words>
  <Characters>3202</Characters>
  <Lines>26</Lines>
  <Paragraphs>7</Paragraphs>
  <TotalTime>0</TotalTime>
  <ScaleCrop>false</ScaleCrop>
  <LinksUpToDate>false</LinksUpToDate>
  <CharactersWithSpaces>3756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2018-03-14T03:11:00Z</dcterms:created>
  <dc:creator>Administrator</dc:creator>
  <cp:lastModifiedBy>谢明正</cp:lastModifiedBy>
  <cp:lastPrinted>2016-07-14T01:08:00Z</cp:lastPrinted>
  <dcterms:modified xsi:type="dcterms:W3CDTF">2022-02-25T01:09:31Z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9C05221424F143B3B18830BAEA167FA0</vt:lpwstr>
  </property>
</Properties>
</file>